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Julia Wallace Retirement Village Limited - Julia Wallace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Julia Wallace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Julia Wallace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2022</w:t>
      </w:r>
      <w:bookmarkEnd w:id="7"/>
      <w:r w:rsidRPr="009418D4">
        <w:rPr>
          <w:rFonts w:cs="Arial"/>
        </w:rPr>
        <w:tab/>
        <w:t xml:space="preserve">End date: </w:t>
      </w:r>
      <w:bookmarkStart w:id="8" w:name="AuditEndDate"/>
      <w:r w:rsidR="00A4268A">
        <w:rPr>
          <w:rFonts w:cs="Arial"/>
        </w:rPr>
        <w:t>2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Julia Wallace provides rest home, hospital, and dementia level of care for up to 104 residents. There were 85 residents at the time of the audit that included 80 residents in the care centre and 5 rest home level residents in the serviced apartments.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and a nurse practitioner.</w:t>
      </w:r>
    </w:p>
    <w:p w:rsidRPr="00A4268A">
      <w:pPr>
        <w:spacing w:before="240" w:line="276" w:lineRule="auto"/>
        <w:rPr>
          <w:rFonts w:eastAsia="Calibri"/>
        </w:rPr>
      </w:pPr>
      <w:r w:rsidRPr="00A4268A">
        <w:rPr>
          <w:rFonts w:eastAsia="Calibri"/>
        </w:rPr>
        <w:t>The village manager is appropriately qualified and experienced and is supported by a clinical manager (registered nurse) who oversees the care centre and an assistant manager.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rsidRPr="00A4268A">
      <w:pPr>
        <w:spacing w:before="240" w:line="276" w:lineRule="auto"/>
        <w:rPr>
          <w:rFonts w:eastAsia="Calibri"/>
        </w:rPr>
      </w:pPr>
      <w:r w:rsidRPr="00A4268A">
        <w:rPr>
          <w:rFonts w:eastAsia="Calibri"/>
        </w:rPr>
        <w:t>One improvement is required in relation to health and safety.</w:t>
      </w:r>
    </w:p>
    <w:p w:rsidRPr="00A4268A">
      <w:pPr>
        <w:spacing w:before="240" w:line="276" w:lineRule="auto"/>
        <w:rPr>
          <w:rFonts w:eastAsia="Calibri"/>
        </w:rPr>
      </w:pPr>
      <w:r w:rsidRPr="00A4268A">
        <w:rPr>
          <w:rFonts w:eastAsia="Calibri"/>
        </w:rPr>
        <w:t xml:space="preserve">There are three areas of continuous improvement awarded around good practice, restraint minimisation and infection control.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Informed consent procedures and advance directives are discussed with residents on admission. 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on-site seven days a week with additional on call cover 24/7. Residents and families report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InterRAI assessments, risk assessments, care plans, interventions and evaluations are completed by the registered nurses. Care plans demonstrate service integration. Resident and family interviewed confirmed they were involved in the care plan process and review. Care plans were updated for changes in health status. The general practitioner/nurse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engage programme meets the abilities and recreational needs of the group of residents including a men’s group.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medication-specific education. The general practitioner/nurse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Individual and special dietary needs are accommodated. Residents interviewed responded favourably to the food that is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All bedrooms are single occupancy with full ensuites. There are adequate numbers of communal toilets. There was sufficient space to allow the safe movement of residents around the facility. The hallways and communal areas were spacious and accessible. The outdoor areas were safe and easily accessible. There are policies in place for emergency management. There is a person on duty at all times with first aid training. Housekeeping staff maintain a clean and tidy environment. All laundry services are managed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At the time of the audit there were no residents using restraint and four residents using enablers. Staff receive regular education and training in relation to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includes policies and procedures to guide staff. The infection prevention and control team hold integrated meetings with the health and safety team. A monthly infection control report is completed and forwarded to head office for analysis and benchmarking. There has been additional focus and education on infection control and change to some policies since the covid outbreak. A six-monthly comparative summary is completed. The service has had two outbreaks since the last audit that were well-managed.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8"/>
        <w:gridCol w:w="1280"/>
        <w:gridCol w:w="100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Three managers (one village manager, one clinical manager, and one operations quality manager) and eighteen staff interviewed (one assistant manager, four unit coordinators (one hospital/registered nurse (RN), one rest home/RN, one dementia/RN, one serviced apartment/enrolled nurse (EN)), three registered nurses (RNs), five caregivers (one covers the dementia unit, two hospital, one serviced apartments and one rest home), two activities staff, one maintenance, one cleaner, one laundry) were able to describe how the Code is incorporated into their day to day responsibilities.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form part of the admission agreement as sighted for 11 resident’s files reviewed. There are specific written consents for procedures including wound photographs, influenza/covid vaccines and indwelling catheters.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are signed for separately. Copies of enduring power of attorney (EPOA) are kept on the residents file where required. The EPOAs had been activated in the three dementia care resident files reviewed. Caregivers and registered nurses (RN) interviewed, confirmed verbal consent is obtained when delivering care   Discussions with family members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of eleven resident files reviewed have signed admission agreements, ongoing efforts were being made to have the eleventh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as covid restrictions allow.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visible locations around the facility. Information about complaints is provided on admission. Interviews with all residents and family confirmed their understanding of the complaints process. They reported that they would feel comfortable addressing a concern with the village manager and/or clinical manager.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and demonstrates that complaints are being managed in a timely manner. The complaints process is linked to the quality and risk management system. Six complaints received in 2021 have been managed in a timely manner and are documented as resolved. No complaints have been lodged with HDC or the DHB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with residents and families during the admission process. Five relatives (two hospital and three dementia) and five residents (two rest home with one in a serviced apartment and three hospital) stated they were provided with information on admission which included the Code. Large print posters of the Code and advocacy information are displayed throughout the facility in English and te reo Māori. The managers reported having an open-door policy and described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All residents’ rooms are single rooms with their own private ensuite.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residents’ cares.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an organisational Māori health plan that is being implemented at Ryman Julia Wallace. There are supporting policies that provide recognition of Māori values and beliefs and identify culturally safe practices for Māori. Links are established with a kaumatua who blesses the facility every year with the most recent blessing occurring on 13 December 2021. Links are also established with other Māori community representative groups as requested by the resident/family. Staff receive cultural training which is initiated during their orientation and is repeated every year.</w:t>
            </w:r>
          </w:p>
          <w:p w:rsidR="00EB7645" w:rsidRPr="00BE00C7" w:rsidP="00BE00C7">
            <w:pPr>
              <w:pStyle w:val="OutcomeDescription"/>
              <w:spacing w:before="120" w:after="120"/>
              <w:rPr>
                <w:rFonts w:cs="Arial"/>
                <w:b w:val="0"/>
                <w:lang w:eastAsia="en-NZ"/>
              </w:rPr>
            </w:pPr>
            <w:r w:rsidRPr="00BE00C7">
              <w:rPr>
                <w:rFonts w:cs="Arial"/>
                <w:b w:val="0"/>
                <w:lang w:eastAsia="en-NZ"/>
              </w:rPr>
              <w:t>One resident who identifies as Māori was living at the facility (hospital) but was unable to be interviewed and whanau were not available. This residents file was reviewed. A Māori health plan was completed on admission with links to the resident’s care plan. The care plan/cultural needs are reviewed six-monthly. Family/whānau involvement in assessment and care planning and visiting is encouraged with evidence of whanau signing this particular resident’s Māori health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is invited and encouraged to attend. Discussions with relatives confirmed that residents’ values and beliefs are considered. Residents and relatives interviewed confirmed that staff take into account their cultural values where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provides guidelines and mentoring for specific situations. Interviews with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an electronic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Quality improvement plans (QIP) are developed where results do not meet expectations. These QIPs are then signed off when implemented. An electronic resident care system is used by all sites to report relevant data through to Ryman Christchurch. The system of data analysis and trend reporting is designed to inform staff at the facility level. Falls and challenging behaviours for the facility remain low, below the Ryman average. Another highlight of good practice for this facility are the low rates of bruising.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The service receives support from the district health board which includes visits from specialists. A physiotherapist is available 12 hours per week with additional support provided by a physiotherapy assistant although this position was vacant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education and training programme for staff that includes in-service training, online training and annual competency assessments that monitor staff comprehension across a range of topics. RNs attend a journal club meeting every two months. Podiatry services and hairdressing services are provided. The service has established links with the local community and encourages residents to remain independent. The facility has maintained a Covid-free environment. Other examples of good practice include maintaining a homely environment, increasing staff attendance at educational in-services, reducing the number of complaints through building relationships with families, improving the quality of food as evidenced in the resident satisfaction surveys and completing a total overhaul of the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on the electronic database and in the residents’ progress notes. All family interviewed stated they were well-informed. Fifteen incident/accident forms and corresponding residents’ files were reviewed, and all identified that the next of kin were contacted.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if needed for residents who are unable to speak or understand English. Family and staff are used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Julia Wallace is a Ryman Healthcare retirement village located in Palmerston North. They are certified to provide rest home, hospital, and dementia levels of care in their care centre for up to 84 residents. There are also 20 serviced apartments that are certified to provide rest home level care. Sixty-three beds in the care centre are certified as dual-purpose beds and twenty-one beds are available in the special care unit for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occupancy in the care centre was 30 rest home, 30 hospital and 20 dementia level residents. In addition, there were five rest home level residents in the serviced apartments. The hospital level of care is certified for geriatric and medical. There were four residents on respite (one rest home, one dementia, two hospital), one on ACC (hospital), and two on the long-term support – chronic health care contract (LTS-CHC) (hospital). All remaining residents were on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Annual objectives are defined with evidence of regular reviews and quarterly reporting to senior managers on progress towards meeting these objectives. Staff are kept informed of progress in the full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her role at this facility for the past 12 months. She has 37 years of experience in the health sector and trained in 1983 as an enrolled nurse. She no longer has a current practising certification. The village manager is supported by a regional manager, an operations quality manager, an assistant manager, and a clinical manager/RN. The village manager and clinical manager have attended a minimum of eight hours of professional development per year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assistant manager are responsible during the temporary absence of the village manager, with added support provided by the regional manager and Christchurch Ryman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Julia Wallace has a well-established quality and risk management system that is directed by Ryman Christchurch. Quality and risk performance is reported across the facility meetings and to the organisation's management team. Discussions with the management team and staff, and review of meeting minutes reflects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Minutes are maintained. Annual resident and relative surveys are completed with the last survey completed in February 2021. Results are benchmarked against all Ryman facilities. The sample size for the 2021 survey was very small (six residents). Residents who did complete a survey were either satisfied or very satisfied with their care, with improvements in scores noted when comparing 2021 results to 2020 (care, communication, linen, food, activities, building grounds). Strategies are being implemented to improve the return rate of responses for 2022, which is scheduled for this month (February 2022).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service delivery. There are clear guidelines and templates for reporting. Service appropriate management systems, policies, and procedures are developed, implemented, and regularly reviewed for the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Clinical indicators are graphed and identify trends in the data. Results are communicated to staff across a variety of meetings and reflect actions being implemented and signed off when completed. Interviews with staff confirmed their awareness of clinical indicator trends and strategies being implemented to improve residents’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&amp; Safety Committee meets monthly and consists of the management team, restraint officer, infection control officer, Health and Safety Officer, Fire Officer &amp; Head of maintenance and Head of Gardening conduct regular evaluation of work schedules, processes, and the working environment. Hazard identification and risk analysis has been carried out on tasks and activities at the village. Hazard registers detail the risk and how each risk is mitigated and controlled. These are reviewed annually. Contractors sign into the village using an electronic sign in process and they have submitted all relevant safety documentation. Contractors are also orientated to health and safety although, during the audit a near miss event observed has resulted in a shortfall.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One health and safety representative (maintenance) was interviewed.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Health and safety training begins during a new employee’s induction and continues a minimum of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falls prevention strategies include (but are not limited to) falls risk assessments; education for staff, physiotherapy assessments for all new residents and for residents who have either fallen or are at a high risk of falling; use of appropriate footwear; increased supervision and monitoring for at-risk residents, and sensor mats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15 adverse events (witnessed and unwitnessed falls, skin tears) identified that all forms were fully completed and included follow up by a registered nurse. The clinical manager is involved in reviewing each adverse event, with links to meeting minutes. This provides the opportunity to review any incidents as they occur. Neurological observations are completed if there is a suspected injury to the head or following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able to identify situations that would be reported to statutory authorities with examples provided. Section 31 reports were completed in 2021 for a change in management, grade three or unstageable pressure injuries (seven) and one instance of a resident assault with police involvement. Both public health and the DHB were notified of the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Twelve staff files reviewed (one chef, two unit-coordinators, two staff RNs, one diversional therapist and six caregivers) included an application form and reference checks, a signed contract, a job description relevant to the role the staff member is in and completed induction checklists.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and EN practising certificates is maintained within the facility. Practising certificates for other health practitioners were sighted to provide evidence of their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It is tailored specifically to each position in addition to a more general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Staff training records are maintained. The annual training programme exceeds eight hours annually. There is an attendance register for each training session and an individual staff member record of training. Registered nurses are supported to maintain their professional competency. Journal club meetings are provided two-monthly. Online training and competency assessments are included in the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of sixteen registered nurses have completed their interRAI training. There are implemented competencies for registered nurses and caregivers related to specialised procedures and/or treatment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Twenty-one of twenty-two caregivers who work in the dementia unit have completed their dementia qualification. The remaining caregiver has been employed for less than one year in the dementia unit and is enrolled in this programme. In total (fifty-six caregivers), five have completed a level two qualification, four have completed a level three qualification and six have completed a level four qualification. Two caregivers have a level seven (diploma in health services)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covers two floors with an elevator and stairs for access. The clinical manager is an experienced registered nurse with a current practising certificate who works full time Tuesday-Saturday. She is supported by four unit-coordinators (three RNs (rest home, dementia, hospital) and one enrolled nurse (serviced apartments) who stagger a seven day a week schedule. </w:t>
            </w:r>
          </w:p>
          <w:p w:rsidR="00EB7645" w:rsidRPr="00BE00C7" w:rsidP="00BE00C7">
            <w:pPr>
              <w:pStyle w:val="OutcomeDescription"/>
              <w:spacing w:before="120" w:after="120"/>
              <w:rPr>
                <w:rFonts w:cs="Arial"/>
                <w:b w:val="0"/>
                <w:lang w:eastAsia="en-NZ"/>
              </w:rPr>
            </w:pPr>
            <w:r w:rsidRPr="00BE00C7">
              <w:rPr>
                <w:rFonts w:cs="Arial"/>
                <w:b w:val="0"/>
                <w:lang w:eastAsia="en-NZ"/>
              </w:rPr>
              <w:t>There are twenty serviced apartments certified to provide rest home level of care that span two floors with five rest home level residents during the audit. The serviced apartment unit coordinator (EN) or a senior caregiver cover seven days a week and are supported by two caregivers on the AM shift (one long and one short shift) and two caregivers on the PM shift (short shift only). The rest home caregivers cover the serviced apartments after 10 pm and through the night shift. Staff communicate via mobile telecommunications.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wing (27 residents) is located on the ground floor. Staffing includes a rest home coordinator/RN (Tues – Sat) and a senior caregiver on Sunday/Monday. Two long (eight hour) shift caregivers and one short shift (to 1300) caregivers cover the AM shift, two long and one short shift (1630-1830) dining assistant) cover the PM shift and two caregivers cover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(three rest home and thirty hospital level residents), also on the ground floor, is staffed with a unit coordinator/RN (Sun - Thurs). This is in addition to two staff RNs who are assigned on the AM and PM shifts. Four long shift and two short shift (to 1330) caregivers cover the AM shift, two long and two short shift (to 2100) cover the PM shift and two caregivers cover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first level includes the secure dementia unit (20 residents). The dementia unit is staffed with a unit coordinator (RN) from Tues – Sat and an RN on Sunday and Monday. There are two caregivers who work the AM shift (long shifts), and three caregivers who cover the PM shift (two long and one short shift/lounge carer). Two caregivers cover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A cover pool (32 RN hours and 64 caregiver hours per fortnight) has been implemented whereby (extra) care staff are scheduled to help cover absences.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Individual resident files demonstrate service integration. All resident files are documented electronically and therefore are legible, dated and include the name and designation of the relevant caregiver or RN. All electronic data is individually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The welcome pack also includes information specific to dementia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care. Clear processes exist that support older people and their families to understand what the payments are for.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 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is undertaken by two RNs. Any errors are fed back to pharmacy. Registered nurses, enrolled nurses and senior caregivers who administer medications have been assessed for competency on an annual basis. Care staff interviewed were able to describe their role in regard to medicine administration. Education around safe medication administration has been provided. Medications were stored safely in all units. Medication fridges and treatment room temperatures are monitored daily- treatment rooms had been fitted with air conditioning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self-medicating residents (one rest home and three hospital) had been assessed and reviewed by the GP and RN as competent to self-administer their inhalers and vitamin supplement.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Twenty-one charts (seven hospital, eight rest home- including one resident in apartment wing - and six dementia care) medication charts were reviewed on the electronic medication system. Medication charts had photo identification, allergy status and had been reviewed three-monthly by the GP/NP. All medication charts reviewed have ‘as needed’ medications prescribed with an indication for use.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qualified head chef is supported by two additional chefs so there is a chef onsite 8am to 7pm daily, two cook’s assistants and five kitchenhands. Staff have been trained in food safety. Menu choices are ordered by residents (or staff if the resident is not able) the week before.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four-weekly seasonal menu offers several meal choices including a vegetarian option. The menu choices accommodate resident dislikes and gluten free diets. The seasonal menu has been designed in consultation with the dietitian and regional chef at an organisational level. Meals are delivered in hot boxes (with the exception of the rest home which is directly adjacent to the main kitchen) and served from bain-maries in each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religious and food allergies are accommodated. Nutritious snacks are available 24 hours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end cooked and serving temperatures are taken and recorded daily. The chilled goods temperature is checked on delivery. All foods were date labelled. Decanted dry goods had expiry dates.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twice weekly electronic food satisfaction surveys, annual resident survey, and direct contact with the food services staff. Residents and relatives interviewed spoke positively about the choices and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Risk assessments have been completed on admission and reviewed six-monthly as part of the evaluation process. The outcomes of interRAI assessments and risk assessments that were triggered reflected appropriate interventions in the care plans reviewed. A suite of assessments are available on the myRyman system to the RNs to utilise as appropriate. assessments sighted, (but not limited to) include behavioural, wound and restraints were completed according to need. In the resident files reviewed the outcomes of all assessments, needs, and supports required were reflected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comprehensive and demonstrated service integration and input from allied health. All resident care plans were resident centred and support needs and interventions were documented in detail to reflect the outcomes of clinical assessments. Family members interviewed confirm care delivery and support by staff is consistent with their expectations. Care plans were amended to reflect changes in health status and were reviewed on a regular basis. Residents and family stated they were involved in the care planning and review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GP/NP visit or nurse specialist consultant. Care plans are updated to reflect the changes in resident needs/supports.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wound assessments, treatment plans and evaluations were in place for 14 residents with wounds (skin tears, a surgical wound and six chronic ulcers). There were no pressure injuries. Adequate dressing supplies were sighted in the treatment rooms. The wound care champion (registered nurse) for the service provides advice and support to RNs and reviews wounds weekly. She has access to the DHB wound nurse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three activities coordinators (two diversional therapists, one an enrolled nurse) to deliver the engage programme across the rest home, hospital, dementia care unit and serviced apartments. Activity coordinators attend on-site and organisational in-service relevant to their roles. All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Rest home residents in the serviced apartments attend either the serviced apartment or rest home programme. The engage programme is seven days a week in the hospital and dementia care units and Monday to Friday in the rest home and serviced apartments. Lounge carers on the afternoon in the hospital support the DT with activities. There are plentiful resources available. Residents receive programmes in their rooms as appropriate. Daily contact is made with residents who choose not to be involved in the activity programme. One-on-one time is spent with residents unable to participate in group activities. Triple A exercises occurs daily in each unit to meet the physical and cognitive abilities of the residents. There are regular supervised walks outside. There are many activities that are open to all residents including: entertainment; mass picnics; village spelling bee; quizzes; children’s party (off-site); and men’s group however at present with Covid restrictions some have been postponed or modified. There are regular van outings for shopping, visits to cafes and places of interest. Residents are encouraged to maintain links with the community and for community visitors to come to the home however these are currently limited.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Weekly interdenominational church services are held on-site in the chapel (postponed at present) and monthly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observation and/or interview the younger persons in the home were given a full choice of what they would like to do (in the facility or in the community – covid restrictions permitting). On interview one resident stated how excellent the staff were at always having her ready on time to go out to usually a large number of community activities. Another who chose to just go on the regular weekly outing was well set up to undertake activities she wished to do e.g. painting and reading.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eleven care plans had been evaluated six-monthly by registered nurses. Two residents (one hospital and one rest home care) had not been at the service six months and one hospital resident was on respite). Written evaluations describe the resident’s progress against the resident’s identified goals. The multidisciplinary review involves the RN, GP, activities staff and resident/family and other allied health professionals such as the physio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GP/NP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 sheets and product use information was readily available.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9 December 2022. The facility has two levels with the care centre (rest home and hospital) on the ground level and dementia care unit and serviced apartments on the first floor. There is lift and stair access between the levels. </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ensures daily maintenance requests are addressed. He maintains a 12-monthly planned maintenance schedule which has been signed off monthly as completed. Essential contractors are available 24 hours. Electrical testing is completed annually (July 21). Annual calibration and functional checks of medical equipment is completed (June 2021) by an external contractor.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are monitored as part of the three-monthly environmental audit.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safely mobilise using mobility aids. Residents were observed to safely access the outdoor gardens, atrium, and courtyards safely. Seating and shade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is secure and has an internal walking area and residents have access to a safe outdoor deck with seating and shade. There is an open conservatory area has been off the lounge. The conservatory provides another area for outdoor activities. (link 1.2.3.9)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single occupancy and have full ensuites. There were communal toilets located closely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care to be provided and for the safe use and manoeuvring of mobility aids and hoists.  Residents are encouraged to personalise their bedrooms as viewed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unit and hospital unit each have a separate lounge area and dining room. There are seating alcoves, a library room, and a family room within the care centre. Both units have an internal courtyard. The large main lounges have seating placed to allow for individual or group activities. There is a hairdresser, shop, and chapel/reflection room available to all residents. The dementia unit has a spacious combined dining room and lounge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of the cleaning and laundry service. Laundry and cleaning audits were completed as per the Ryman programme.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on-site. Residents interviewed stated they were happy with the cleanliness of their bedrooms and communal areas. Residents confirmed their clothing was treated with care and returned to them in a timely manner. The chemical provider monitors the effectiveness of chemicals and provides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manuals to guide staff in managing emergencies and disasters. Emergency management, first aid and CPR are included in the mandatory education programme. There is a minimum of one first aid trained staff member on every shift and on outings. The village has an approved fire evacuation plan and fire drills take place six-monthly. Smoke alarms, a sprinkler system, exit signs, emergency lighting and gas cooking facilities are in place. There is a civil defence kit in the facility and ample water storage on-site. A diesel-powered generator is available in the event of a power outage.</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evident in resident’s rooms, lounge areas and toilets/bathrooms. The call bell system is linked to staff pagers and to the call bell panels in the rest home. Residents can choose to wear an alarm pendant. Maintenance regularly checks the call bell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that they conduct security checks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All rooms have external windows with plenty of natural sunlight. Internal ground floor rooms open out onto the atrium.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clinical manager (CM) is the infection control coordinator and leads the committee consisting of the village manager, assistant, and all unit coordinators. The CM has a job description that outlines IC responsibilities. The clinical and facility meetings receive a report on infection prevention and control matters at their monthly meetings. The programme is set out annually from head office and directed via the quality programme. The programme is reviewed annually, and a six-month analysis is completed and reported to the governing body.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and at present must book an appointment to visit and comply with covid requirements e.g., check in, have their temperature recorded and wear a mask and face shield. Residents are offered the covid vaccination and annual influenza vaccine. There are adequate hand sanitizers and personal protective equipment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received training (March &amp; May 2021) and is currently enrolled to undertake a Postgraduate certificate in Infection Control. The infection control coordinator also links into ARCC managers forums at the DHB. The DHB has provided some equipment for the covid period and this is supplemented by Ryman. The facility also has access to an infection prevention and control nurse specialist from the DHB and expertise within the organisation, public health, GPs, local laboratory, and external infection control consultant. There is also support from other clinical managers within Ryman. On audit it was evident that changes in staffing and management had also been made to minimise any spread of covid within the facility and to other facilities, e.g. staff were now working in bubbles, only working at Julia Wallace, changing of uniforms between units, not leaving the department for breaks, and strict control for laundry and kitchen teams. There was a declaration/sign in process including the taking of temperatures. Security was implemented to screen all people coming to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SNZ HB 8134:2008, legislation and good practice. These policies are generic to Ryman and the policies are reviewed and overseen by the infection control specialist at head office. The infection prevention and control policies link to other documentation and cross reference where appropriate. Benchmarking occurs with other Ryman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orientation/induction package includes specific training around hand hygiene and standard precautions. All staff complete annual hand hygiene and use of PPE competencies. At present monthly covid drills are being held to be familiar with how one would manage a case of covid, the fitting of a mask and other matters relating to prevention and/or management of an outbreak. Infection control is an agenda item on the full facility and clinical meeting agenda. 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period of covid, education on infection control has been increased to monthly with nationally recognised infection control specialists involved.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an electronic register and the infection prevention and control coordinator completes a monthly report. Monthly data is reported to the infection prevention and control, and the health and safety meetings. Staff are informed through the variety of meetings held at the facility and also electronically. The infection prevention and control programme links with the quality programme. The infection prevention and control coordinator uses the information obtained through surveillance to determine infection prevention and control activities, resources, and education needs within the facility. There is close liaison with the GP/NPs that advise and provide feedback/information to the service. Systems in place are appropriate to the size and complexity of the facility. A significant reduction in the rate of urinary tract infections has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norovirus outbreak July 2021 and a respiratory outbreak in February 2020. Public Health was notified in both instances.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At the time of the audit, the facility had not used any restraints since October 2020. Lazy boy chairs are regularly used for positioning residents but not for the purpose of restraining residents. Four residents (hospital) were using bedrails as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policies and procedures are comprehensive and include definitions, processes and use of restraints and enablers. Staff training is provided around maintaining a restraint-free environment as well as strategies to manage challenging behaviours and minimise falls. This training includes online learning, and competency assessments that are repeated each year.</w:t>
            </w:r>
          </w:p>
          <w:p w:rsidR="00EB7645" w:rsidRPr="00BE00C7" w:rsidP="00BE00C7">
            <w:pPr>
              <w:pStyle w:val="OutcomeDescription"/>
              <w:spacing w:before="120" w:after="120"/>
              <w:rPr>
                <w:rFonts w:cs="Arial"/>
                <w:b w:val="0"/>
                <w:lang w:eastAsia="en-NZ"/>
              </w:rPr>
            </w:pPr>
            <w:r w:rsidRPr="00BE00C7">
              <w:rPr>
                <w:rFonts w:cs="Arial"/>
                <w:b w:val="0"/>
                <w:lang w:eastAsia="en-NZ"/>
              </w:rPr>
              <w:t>Four of four files of residents using enablers were reviewed. Assessments for the use of enablers were sighted and included risks associated with using bedrails. All four residents had provided written consent for the use of the bedrails and use of the enablers were linked to their care plans. This process is reviewed six-monthly with input from the nurse practitioner.</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received a rating of continuous improvement in relation to maintaining a restraint-free environment for over one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5"/>
        <w:gridCol w:w="1280"/>
        <w:gridCol w:w="1170"/>
        <w:gridCol w:w="6949"/>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hazardous area in the dementia unit was accessed by a resident and was observed as a near miss event.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audit, while the auditor was observing in the special care (dementia) unit, the outdoor area was unattended. This area was being painted by an external contractor. During this observation, the area was unattended, not cordoned off, paint was left in a pan on the ground and a long-handled paint brush was left splayed across the ground (note the outdoor area is a narrow space). During this time, a resident was observed to open the door, go outside, and was observed to bend down and inspect the paint that was on the ground. After a few minutes, the caregiver saw what was happening and went outside to coax the resident back into the facility. This area remained a hazardous area and the door remained unlocked (key access only) despite this occurrence. The unit coordinator was unavailable on the phone and the caregiver staff were attending to the other residents. The auditor then contacted maintenance who promptly contacted the contractor. The contractor then removed his paint and supplies from the outdoor area. Maintenance staff confirmed that the contractor has been orientated to health and safety procedures. During an interview with the contractor, he stated that because the door to the outdoor courtyard was closed, he felt he could leave the area without issue. An incident report was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external contractors who work in a dementia unit clearly understand the steps that are required to ensure no residents have access to any hazardous substances.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2308"/>
        <w:gridCol w:w="85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Numerous examples of good practice were evident, in particular the low rate of bruising at the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bruising rate relating to manual handling, falls, and managing challenging behaviours around personal cares has reduced significantly over the past year. The clinical manager is responsible for reviewing all bruising incidents. Results are reported to staff daily; at relevant meetings (egg, full facility, caregivers, senior caregivers, night staff, journal club; and on the Ryman social media platform (chatter). All residents on anticoagulants are identified at risk of bruising. Resident care plans are reviewed to ensure adequate interventions are in place for all high-risk and recidivist residents including appropriate equipment (e.g. shin protectors) are in place. A transfer plan has been developed by the physiotherapist for each resident to indicate if a resident is a one or two-person transfer. Education has been undertaken and regularly repeated each month which the clinical manager reports has been significant in raising staff awareness to reducing bruising. Another useful tool, the Ryman social media site (chattr) provides frequent and regular feedback to staff in relation to any trends in data relating to bruising. For the 2021 calendar year, the Ryman group average is 8.2 bruising events/1000 bed nights/month. The bruising rate at Ryman Julia Wallace has been recorded between 2.64 – 5.70 bruising events/1000 bed nights/month.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statistics are generated monthly and are reviewed by the infection control nurse; reports are provided to the two monthly infection control meetings, clinical meetings, and monthly myRyman meetings. The rate of UTI’s have either reduced (rest home level) or consistently remain below the Ryman Group average (hospital and special care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goal for the project was to maintain consistency of UTI rates within Ryman Group average and below the benchmark of 2 per 1000 bed nights in hospital and special care unit and 4 in rest home. From July 2021 all reported UTIs were reviewed by the CM. Follow up with unit coordinators was undertaken discussing issues of dehydration or reduced fluid intake, reduced physical functioning and self-care ability of rest home residents, poor perineal care, UTI histories and any UTI risk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CM actively screened the nurse practitioner list and discussed referrals for possible UTIs with unit coordinators and RNs. Review of all residents with recurring UT infections- the reasons for treatment(symptoms), plan in place and outcome/resolution for each infection was reviewed. Discussion of UTI trends at 2monthly IC meetings and at clinical and full facility meetings was undertaken. The RN team undertook education on UTIs, and Bugs are fascinating (Ben Harris video) and present their learnings to RN and Caregiver meetings.</w:t>
            </w:r>
          </w:p>
          <w:p w:rsidR="00EB7645" w:rsidRPr="00BE00C7" w:rsidP="00BE00C7">
            <w:pPr>
              <w:pStyle w:val="OutcomeDescription"/>
              <w:spacing w:before="120" w:after="120"/>
              <w:rPr>
                <w:rFonts w:cs="Arial"/>
                <w:b w:val="0"/>
                <w:lang w:eastAsia="en-NZ"/>
              </w:rPr>
            </w:pPr>
            <w:r w:rsidRPr="00BE00C7">
              <w:rPr>
                <w:rFonts w:cs="Arial"/>
                <w:b w:val="0"/>
                <w:lang w:eastAsia="en-NZ"/>
              </w:rPr>
              <w:t>In July 2021, 6 monthly indicator results for the consecutive two 6 monthly reports (July to Dec 2020) and (Jan 2021- June 2021) evidenced that total UTI rates were now mostly below the Ryman Group average in Hospital and special care unit and the rates in rest home showed significant continuous reduction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At the time of the audit, the facility was not using any restraints. Four residents were voluntarily using bedrails as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policies and procedures are comprehensive and include definitions, processes and use of restraints and enablers. Staff training has been provided around maintaining a restraint-free environment as well as strategies to manage challenging behaviours and minimise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maintained a restraint-free environment since October 2020. A restraint committee meets twice per year to evaluate the quality initiative of remaining restraint-free. Strategies implemented include regular staff education on maintaining a restraint-free environment, explaining to staff the risks of restraint, what constitutes restraint, interventions, strategies, and accountabilities; residents and families are well-informed at entry to the service regarding the care centre’s goal of promoting a restraint-free environment and the benefits this has for their residents; a range of falls prevention strategies are implemented, which help to reduce the need for restraint.  Physiotherapy input assists in assessment of residents who are at high risk of falling; the lounge carer role (hospital and dementia) actively engage residents throughout their shift (observed). Residents displaying agitated behaviours are provided with additional companionship, may receive hand massages to help calm them, and are provided with regular fluids and toileting.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Julia Wallace Retirement Village Limited - Julia Wallace Retirement Village</w:t>
    </w:r>
    <w:bookmarkEnd w:id="58"/>
    <w:r>
      <w:rPr>
        <w:rFonts w:cs="Arial"/>
        <w:sz w:val="16"/>
        <w:szCs w:val="20"/>
      </w:rPr>
      <w:tab/>
      <w:t xml:space="preserve">Date of Audit: </w:t>
    </w:r>
    <w:bookmarkStart w:id="59" w:name="AuditStartDate1"/>
    <w:r>
      <w:rPr>
        <w:rFonts w:cs="Arial"/>
        <w:sz w:val="16"/>
        <w:szCs w:val="20"/>
      </w:rPr>
      <w:t>1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