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(BPA) Limited - Redroofs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(BPA)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Redroofs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February 2022</w:t>
      </w:r>
      <w:bookmarkEnd w:id="7"/>
      <w:r w:rsidRPr="009418D4">
        <w:rPr>
          <w:rFonts w:cs="Arial"/>
        </w:rPr>
        <w:tab/>
        <w:t xml:space="preserve">End date: </w:t>
      </w:r>
      <w:bookmarkStart w:id="8" w:name="AuditEndDate"/>
      <w:r w:rsidR="00A4268A">
        <w:rPr>
          <w:rFonts w:cs="Arial"/>
        </w:rPr>
        <w:t>2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Redroofs Lifecare provides rest home care for up to 50 residents. The service is operated by Heritage Lifecare Limited and managed by a care home manager and a clinical services manager. Residents and families spoke positively about the care provided.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Strengths of the service included treating residents with respect, the development of a vegetable garden, and a well-maintained environment.</w:t>
      </w:r>
    </w:p>
    <w:p w:rsidRPr="00A4268A">
      <w:pPr>
        <w:spacing w:before="240" w:line="276" w:lineRule="auto"/>
        <w:rPr>
          <w:rFonts w:eastAsia="Calibri"/>
        </w:rPr>
      </w:pPr>
      <w:r w:rsidRPr="00A4268A">
        <w:rPr>
          <w:rFonts w:eastAsia="Calibri"/>
        </w:rPr>
        <w:t>Improvements are required in relation to:</w:t>
      </w:r>
    </w:p>
    <w:p w:rsidRPr="00A4268A">
      <w:pPr>
        <w:spacing w:before="240" w:line="276" w:lineRule="auto"/>
        <w:rPr>
          <w:rFonts w:eastAsia="Calibri"/>
        </w:rPr>
      </w:pPr>
      <w:r w:rsidRPr="00A4268A">
        <w:rPr>
          <w:rFonts w:eastAsia="Calibri"/>
        </w:rPr>
        <w:t>•</w:t>
        <w:tab/>
        <w:t>ensuring the 2022 business plan is developed and the 2021 business plan is reviewed</w:t>
      </w:r>
    </w:p>
    <w:p w:rsidRPr="00A4268A">
      <w:pPr>
        <w:spacing w:before="240" w:line="276" w:lineRule="auto"/>
        <w:rPr>
          <w:rFonts w:eastAsia="Calibri"/>
        </w:rPr>
      </w:pPr>
      <w:r w:rsidRPr="00A4268A">
        <w:rPr>
          <w:rFonts w:eastAsia="Calibri"/>
        </w:rPr>
        <w:t>•</w:t>
        <w:tab/>
        <w:t>ensuring all policies are current and developing an employment policy</w:t>
      </w:r>
    </w:p>
    <w:p w:rsidRPr="00A4268A">
      <w:pPr>
        <w:spacing w:before="240" w:line="276" w:lineRule="auto"/>
        <w:rPr>
          <w:rFonts w:eastAsia="Calibri"/>
        </w:rPr>
      </w:pPr>
      <w:r w:rsidRPr="00A4268A">
        <w:rPr>
          <w:rFonts w:eastAsia="Calibri"/>
        </w:rPr>
        <w:t>•</w:t>
        <w:tab/>
        <w:t>consistently ensuring the cleaning schedule evidences areas have been cleaned</w:t>
      </w:r>
    </w:p>
    <w:p w:rsidRPr="00A4268A">
      <w:pPr>
        <w:spacing w:before="240" w:line="276" w:lineRule="auto"/>
        <w:rPr>
          <w:rFonts w:eastAsia="Calibri"/>
        </w:rPr>
      </w:pPr>
      <w:r w:rsidRPr="00A4268A">
        <w:rPr>
          <w:rFonts w:eastAsia="Calibri"/>
        </w:rPr>
        <w:t>•</w:t>
        <w:tab/>
        <w:t>ensuring long term care plans are developed within the three-week required time frame</w:t>
      </w:r>
    </w:p>
    <w:p w:rsidRPr="00A4268A">
      <w:pPr>
        <w:spacing w:before="240" w:line="276" w:lineRule="auto"/>
        <w:rPr>
          <w:rFonts w:eastAsia="Calibri"/>
        </w:rPr>
      </w:pPr>
      <w:r w:rsidRPr="00A4268A">
        <w:rPr>
          <w:rFonts w:eastAsia="Calibri"/>
        </w:rPr>
        <w:t>•</w:t>
        <w:tab/>
        <w:t>ensuring the safe self-administration of medications</w:t>
      </w:r>
    </w:p>
    <w:p w:rsidRPr="00A4268A">
      <w:pPr>
        <w:spacing w:before="240" w:line="276" w:lineRule="auto"/>
        <w:rPr>
          <w:rFonts w:eastAsia="Calibri"/>
        </w:rPr>
      </w:pPr>
      <w:r w:rsidRPr="00A4268A">
        <w:rPr>
          <w:rFonts w:eastAsia="Calibri"/>
        </w:rPr>
        <w:t>•</w:t>
        <w:tab/>
        <w:t>ensuring googles and face shields are cleaned and sanitised after use.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their families are provided with information about the Health and Disability Commissioner’s Code of Health and Disability Services Consumers’ Rights (the Code) and these are respected. Personal privacy, gender, independence, individuality and dignity are supported. Staff interact with residents in a respectful manner.</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Residents who identify as Māori are able have their needs met in a manner that respects their cultural values and beliefs. There was no evidence of abuse, neglect or discrimination.</w:t>
      </w:r>
    </w:p>
    <w:p w:rsidRPr="00A4268A">
      <w:pPr>
        <w:spacing w:before="240" w:line="276" w:lineRule="auto"/>
        <w:rPr>
          <w:rFonts w:eastAsia="Calibri"/>
        </w:rPr>
      </w:pPr>
      <w:r w:rsidRPr="00A4268A">
        <w:rPr>
          <w:rFonts w:eastAsia="Calibri"/>
        </w:rPr>
        <w:t xml:space="preserve">The service has linkages with a range of specialist health care providers to support best practice and meet resident’s needs.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2021 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potential resident/family.</w:t>
      </w:r>
    </w:p>
    <w:p w:rsidRPr="00A4268A" w:rsidP="00621629">
      <w:pPr>
        <w:spacing w:before="240" w:line="276" w:lineRule="auto"/>
        <w:rPr>
          <w:rFonts w:eastAsia="Calibri"/>
        </w:rPr>
      </w:pPr>
      <w:r w:rsidRPr="00A4268A">
        <w:rPr>
          <w:rFonts w:eastAsia="Calibri"/>
        </w:rPr>
        <w:t>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Residents’ personal belongings are laundered onsite. Linen is laundered offsite.</w:t>
      </w:r>
    </w:p>
    <w:p w:rsidRPr="00A4268A">
      <w:pPr>
        <w:spacing w:before="240" w:line="276" w:lineRule="auto"/>
        <w:rPr>
          <w:rFonts w:eastAsia="Calibri"/>
        </w:rPr>
      </w:pPr>
      <w:r w:rsidRPr="00A4268A">
        <w:rPr>
          <w:rFonts w:eastAsia="Calibri"/>
        </w:rPr>
        <w:t>Staff are trained in emergency procedures, use of emergency equipment and supplies.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There were no enablers and no restraints in use at the time of audit.  </w:t>
      </w:r>
    </w:p>
    <w:p w:rsidRPr="00A4268A">
      <w:pPr>
        <w:spacing w:before="240" w:line="276" w:lineRule="auto"/>
        <w:rPr>
          <w:rFonts w:eastAsia="Calibri"/>
        </w:rPr>
      </w:pPr>
      <w:r w:rsidRPr="00A4268A">
        <w:rPr>
          <w:rFonts w:eastAsia="Calibri"/>
        </w:rPr>
        <w:t>Staff were aware that any use of enablers is voluntary and for the safety of the resident. Those interviewed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from the general practitioner and the organisation’s head office when needed.</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375"/>
        <w:gridCol w:w="1280"/>
        <w:gridCol w:w="828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Redroofs Rest Home has policies, procedures and processes (see 1.2.3.4)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(29 March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Additional consents were sighted for COVID-19 vaccinations. Advance care planning,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Meeting minutes showed that a representative from the Advocacy Service had spoken at a residents’ meeting.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currently has restricted visiting hours under the red traffic light system. Family members interviewed stated they felt welcome when they visited and comfortable in their dealings with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 admission and those interviewed knew how to do so. Complaint forms, information on how to make a complaint, and a complaints box are at reception.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five complaints have been received over the past year and that actions taken, through to an agreed resolution, are documented, and completed within the timeframes. Action plans showed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is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being made aware of the Code and the Nationwide Health and Disability Advocacy Service (Advocacy Service) through the admission information provided and discussion with staff. The Code is displayed in the reception area and outside the nurses’ station, together with information on advocacy services, how to make a complaint and feedback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that they receive services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There is one married couple who share a room. </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attending community activities, participation in clubs of their choosing. Care plans included documentation related to the resident’s abilities, and strategies to maximise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occur during orientation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can support residents in the service who identify as Māori to integrate their cultural values and beliefs. The principles of the Treaty of Waitangi are incorporated into day to day practice. The Māori Model of Care ‘Te Whare Tapa Wha’ guides staff in holistic care for Māori residents, though there were none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Guidance on tikanga best practice is available and is supported by staff who identify as Māori in the facility. Residents and their whānau interviewed reported that staff acknowledge and respected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verified that they were consulted on their individual culture, values and beliefs and that staff respected these. Resident’s personal preferences, required interventions and special needs were included in care plans reviewed, such as meal preferences, what activities they wished to attend, and interventions for medical conditions as required. The resident satisfaction survey confirmed that individual needs are being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orientation for staff includes education related to professional boundaries, expected behaviours and the Code of Conduct. All registered nurses have completed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 based policies (see 1.2.3.4), input from external specialist services and allied health professionals, for example, speech language therapist, and education of staff. The general practitioner (GP) confirmed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were advised in a timely manner about any incidents or accidents and outcomes of regular and any urgent medical reviews. This was evident in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has not been required due to the use of family members, and most residents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2021 business plan outlining the purpose, values, scope, direction, and goals of the organisation was sighted. The document described annual and longer-term objectives, the associated operational plans, and the review of the 2020 goals. The 2022 business plan has not been developed. The review of the 2021 goals has not taken place.</w:t>
            </w:r>
          </w:p>
          <w:p w:rsidR="00EB7645" w:rsidRPr="00BE00C7" w:rsidP="00BE00C7">
            <w:pPr>
              <w:pStyle w:val="OutcomeDescription"/>
              <w:spacing w:before="120" w:after="120"/>
              <w:rPr>
                <w:rFonts w:cs="Arial"/>
                <w:b w:val="0"/>
                <w:lang w:eastAsia="en-NZ"/>
              </w:rPr>
            </w:pPr>
            <w:r w:rsidRPr="00BE00C7">
              <w:rPr>
                <w:rFonts w:cs="Arial"/>
                <w:b w:val="0"/>
                <w:lang w:eastAsia="en-NZ"/>
              </w:rPr>
              <w:t>A sample of monthly reports to the regional manager showed adequate information to monitor performance is reported including occupancy rates, complaints, financial performance, emerging risks, and issues.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care home manager who holds relevant clinical and management qualifications and has been in the role for six months. Responsibilities and accountabilities are defined in a job description and individual employment agreement. The care home manager confirmed knowledge of the sector, regulatory and reporting requirements and maintains currency through ongoing learning.</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SDHB to provide rest home level care under an aged related residential care contract. Forty-eight residents were receiving services under the contract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care home manager is absent, the clinical services manager carries out all the required duties under delegated authority. Support is provided by the clinical staff and the regional manager.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for example, management of incidents and complaints, audit activities, a regular resident satisfaction survey, education, monitoring of outcomes, clinical incidents including infections, and wounds.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registered nurses’ team meetings quality and risk team meetings and staff meetings. Meeting minutes were sighted. The care manager completes the electronic quality indicators template each month which is forwarded to head office. Staff reported their involvement in quality and risk management activities through, for example, audit activities and health and safety processes. Residents and families contribute to quality improvement through regular feedback and meetings. </w:t>
            </w:r>
          </w:p>
          <w:p w:rsidR="00EB7645" w:rsidRPr="00BE00C7" w:rsidP="00BE00C7">
            <w:pPr>
              <w:pStyle w:val="OutcomeDescription"/>
              <w:spacing w:before="120" w:after="120"/>
              <w:rPr>
                <w:rFonts w:cs="Arial"/>
                <w:b w:val="0"/>
                <w:lang w:eastAsia="en-NZ"/>
              </w:rPr>
            </w:pPr>
            <w:r w:rsidRPr="00BE00C7">
              <w:rPr>
                <w:rFonts w:cs="Arial"/>
                <w:b w:val="0"/>
                <w:lang w:eastAsia="en-NZ"/>
              </w:rPr>
              <w:t>Relevant corrective actions are developed and implemented to address any shortfalls. Residents’ satisfaction surveys are completed annually. The most recent survey was benchmarked with other Heritage Lifecare Limited facilities and showed a good result.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completed over the last 12 months included hand hygiene, hot water temperatures, and workplace inspections. Samples were sighted. The 2022 internal audit schedule was sighted. </w:t>
            </w:r>
          </w:p>
          <w:p w:rsidR="00EB7645" w:rsidRPr="00BE00C7" w:rsidP="00BE00C7">
            <w:pPr>
              <w:pStyle w:val="OutcomeDescription"/>
              <w:spacing w:before="120" w:after="120"/>
              <w:rPr>
                <w:rFonts w:cs="Arial"/>
                <w:b w:val="0"/>
                <w:lang w:eastAsia="en-NZ"/>
              </w:rPr>
            </w:pPr>
            <w:r w:rsidRPr="00BE00C7">
              <w:rPr>
                <w:rFonts w:cs="Arial"/>
                <w:b w:val="0"/>
                <w:lang w:eastAsia="en-NZ"/>
              </w:rPr>
              <w:t>The document control system is managed by the national office. The service has not ensured all policies and procedures are current. The service was not able to provide an employment policy. Refer 1.2.3.4</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described the processes for the identification, monitoring, review and reporting of risks and development of mitigation strategies. The risk register was sighted.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four incidents forms reviewed showed these were fully completed, incidents were investigated, action plans developed and actions followed-up in a timely manner and signed off by the clinical services manager. Adverse event data is collated, analysed and reported to the regional manager.</w:t>
            </w:r>
          </w:p>
          <w:p w:rsidR="00EB7645" w:rsidRPr="00BE00C7" w:rsidP="00BE00C7">
            <w:pPr>
              <w:pStyle w:val="OutcomeDescription"/>
              <w:spacing w:before="120" w:after="120"/>
              <w:rPr>
                <w:rFonts w:cs="Arial"/>
                <w:b w:val="0"/>
                <w:lang w:eastAsia="en-NZ"/>
              </w:rPr>
            </w:pPr>
            <w:r w:rsidRPr="00BE00C7">
              <w:rPr>
                <w:rFonts w:cs="Arial"/>
                <w:b w:val="0"/>
                <w:lang w:eastAsia="en-NZ"/>
              </w:rPr>
              <w:t>The clinical services manager described essential notification reporting requirements. The care home manager reported that no notifications of significant events have been made to the Ministry of Health since the previous audit. The clinical services manager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recruitment process includes referee checks, police vetting and validation of qualifications and annual practising certificates (APCs), where required. A sample of seven staff records reviewed confirmed the organisation’s procedures are being consistently implemented and records are maintained. The care home manager reported that all the new employee’s information is loaded into the electronic system, including ‘time target’.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are buddied with a senior caregiver and reported that the orientation process prepared them well for their role. Staff records reviewed show documentation of completed orientation and a performance review after a six-week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The 2022 schedule was sighted. Care staff have either completed or commenced a New Zealand Qualification Authority education programme to meet the requirements of the provider’s agreement with the DHB. </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APCs were sighted for the physiotherapist, pharmacist, dietitian, and general practitioner. The service was not able to provide an employment policy. (refer 1.2.3.4).</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7 days a week (24/7). The electronic “Safe Rostering Tool” is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adjusts staffing levels to meet the changing needs of residents. Staff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An afterhours on call roster was sighted that provides 24/7 RN coverage. The care home manager reported that the afterhours phone system is working well 24/7. A mobile phone has been purchased to provide additional phone resources.</w:t>
            </w:r>
          </w:p>
          <w:p w:rsidR="00EB7645" w:rsidRPr="00BE00C7" w:rsidP="00BE00C7">
            <w:pPr>
              <w:pStyle w:val="OutcomeDescription"/>
              <w:spacing w:before="120" w:after="120"/>
              <w:rPr>
                <w:rFonts w:cs="Arial"/>
                <w:b w:val="0"/>
                <w:lang w:eastAsia="en-NZ"/>
              </w:rPr>
            </w:pPr>
            <w:r w:rsidRPr="00BE00C7">
              <w:rPr>
                <w:rFonts w:cs="Arial"/>
                <w:b w:val="0"/>
                <w:lang w:eastAsia="en-NZ"/>
              </w:rPr>
              <w:t>A review of a four-week roster cycle confirmed adequate staff cover has been provided, with staff replaced in any unplanned absence. At least one staff member on duty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 general practitioner (GP) for residents accessing respite care.</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appropriate documentation.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was current and identified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 Clinical pharmacist input is provided on request.</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reviewed were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Prescribing practices included the prescriber’s signature and date recorded on the commencement and discontinuation of medicines and all requirements for pro re nata (PRN) medicines. The required three-monthly GP review was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residents who were self-administering some of their medications at the time of audit. One an inhaler, one a medicated spray and one resident has requested her early morning medication be left the night before as she does not like to be disturbed. Related processes were not being effectively managed.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process for comprehensive analysis of any medication errors. In the year 2021 there were a significant number of medication errors mainly relating to missed doses and not completing the outcomes of PRN medication. The clinical manager, since taking up the role six months ago, has worked with staff and in the last six months there has been a reduction in errors by fifty percent.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two qualified chefs and a kitchen team and is in line with recognised nutritional guidelines for older people. The menu follows summer and winter patterns and has been reviewed by a qualified dietitian within the last two years (for review in May 2022).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Dunedin City Council which is current until 31 March 2022. Food temperatures, including for high risk items, are monitored appropriately and recorded as part of the plan. All kitchen staff have relevant training certificates.</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If residents are hungry there are snacks available.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file is kept of all enquires but the care home manager confirmed that no one has been declined entry. If the needs of a resident change and they are no longer suitable for the services offered, a referral for reassessment to the NASC is made and a new placement found, in consultation with the resident and whānau/family.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falls risk, skin integrity, and nutritional screening, as a means to identify any deficits and to inform care planning. The sample of care plans reviewed had an integrated range of resident-related information. All residents have current interRAI assessments completed and the relevant outcome scores have supported care plan goals and interventions.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written, informative and relevant. Medical notes are documented in the electronic system, so the GP has access when offsite. These are printed off to keep in the residents’ files. Any change in care required is documented and verbally passed on to relevant staff. Residents and families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trained diversional therapist (DT) holding the national Certificate in Diversional Therapy, volunteers, and a caregiver who is just commencing training to support the role. The DT works Monday to Thursday, the caregiver provides activities on Friday, and at the weekend some of the residents initiate activities and puzzles and movies are left out. The DT also arranges for some entertainers to come during the weekend.</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on engagement at the time and as part of the formal six monthly care plan review. Attendance records are kept and a schedule for van outings maintained to ensure all residents have an opportunity to participate.</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families/whānau are involved in evaluating and improving the programme through residents’ meetings and satisfaction surveys. Residents interviewed confirmed they find the programme stimulating and interesting. Residents were observed actively engaged in an exercise class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are diagnosed with dementia have a plan describing behaviour management and individualised activities reflecting former routines covering the 24 hour period.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Training on the ‘stop and watch’ tool has been provided but not evidenced as being used. The shifts that are run by senior care staff always notify the on call person with any changes in a resident’s condition.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wounds.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The service has a ‘house doctor’ who sees all residents and visits the facility twice a week and as required. If the need for non-urgent services is indicated or requested, the GP sends a referral to seek specialist input. Copies of referrals were sighted in residents’ files, including to a speech language therapist. The resident and the family/whānau are kept informed of the referral process, as verified by documentation and interviews. Any acute/urgent referrals are attended to immediately, such as sending the resident to accident and emergency in an ambulance if the circumstances dictate.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cleaning products, and relevant training for staff. Material safety data sheets were available where chemicals are stored, and staff interviewed knew how to refill containers without any chemical spill/event occurring.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provision and availability of protective clothing and equipment. Staff were observed using disposable gloves, hand sanitiser and face masks. Staff reported that eye protection and face shields are not appropriately cleaned and sanitised after each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warrant of fitness expires on 2 March 2022.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was current as confirmed in documentation reviewed, interviews with maintenance personnel, and care home manager, and observation of the environment. The environment was hazard free, residents were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accessible, safe, and provided shade and seating, and meet the needs of the residents. The maintenance staff described the maintenance schedule. The schedule was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they know the processes they should follow if any repairs or maintenance is required, any requests are appropriately actioned and that they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This includes facilities for staff and visitors. Two bedrooms have ensuites. Two bedrooms have toilet and handwashing facilities.</w:t>
            </w:r>
          </w:p>
          <w:p w:rsidR="00EB7645" w:rsidRPr="00BE00C7" w:rsidP="00BE00C7">
            <w:pPr>
              <w:pStyle w:val="OutcomeDescription"/>
              <w:spacing w:before="120" w:after="120"/>
              <w:rPr>
                <w:rFonts w:cs="Arial"/>
                <w:b w:val="0"/>
                <w:lang w:eastAsia="en-NZ"/>
              </w:rPr>
            </w:pPr>
            <w:r w:rsidRPr="00BE00C7">
              <w:rPr>
                <w:rFonts w:cs="Arial"/>
                <w:b w:val="0"/>
                <w:lang w:eastAsia="en-NZ"/>
              </w:rPr>
              <w:t>Appropriately secured and approved handrails are provided in the toilet/shower areas, and other equipment/accessories are available to promote residents’ independence.  Three hot water temperature audits were sighted and all met the required standard. Residents and families reported they were happy with the bathroom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Two bedrooms provide shared accommodation. Where rooms are shared approval has been sought.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and this was witnessed on both days of the audit. The dining and lounge areas are spacious and enable easy access for residents and staff. Residents can access areas for privacy, if required. Furniture and furnishings are appropriate to the setting and residents’ needs. Residents and families reported they were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Linen is taken off site by a contracted provider for laundering. Residents’ personal items are laundered on site in a dedicated laundry. The laundry was sighted. Dedicated laundry staff demonstrated a sound knowledge of the laundry processes, dirty/clean flow and handling of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and laundry team who have received appropriate training.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documentation on the daily cleaning schedules did not evidence that all tasks had been consistently completed. </w:t>
            </w:r>
          </w:p>
          <w:p w:rsidR="00EB7645" w:rsidRPr="00BE00C7" w:rsidP="00BE00C7">
            <w:pPr>
              <w:pStyle w:val="OutcomeDescription"/>
              <w:spacing w:before="120" w:after="120"/>
              <w:rPr>
                <w:rFonts w:cs="Arial"/>
                <w:b w:val="0"/>
                <w:lang w:eastAsia="en-NZ"/>
              </w:rPr>
            </w:pPr>
            <w:r w:rsidRPr="00BE00C7">
              <w:rPr>
                <w:rFonts w:cs="Arial"/>
                <w:b w:val="0"/>
                <w:lang w:eastAsia="en-NZ"/>
              </w:rPr>
              <w:t>One of two cleaning staff interviewed described the hygienic cleaning of the showers. Five of five showers sighted met the standard. The care home manager reported that one shower is on the Capex budget to be replaced.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Fire extinguishers, alarms, fire action plans, call boxes, floor plans with exits, hose reels, and sprinklers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(FENZ) on 19 January 2021. The most recent trial evacuation was held on 23 January 2020 with a copy sent to FENZ. The care home manager reported that due to COVID-19 trial evacuations have been suspended. The care home manager was in discussion with FENZ to hold a trial evacuation and staff training on 4 February 2022. Evidence of the emails was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includes fire and security training.  Staff interview and documentation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Ongoing fire and emergency training is in place. Twenty-three residents and twenty-three employees attended fire training on 25 January 2022.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medical supplies, and gas BBQs were sighted and meet the requirements for the number of residents. The maintenance staff reported that a generator would be delivered if required.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Windows have security stays and doors are alarmed. The care manager reported that night staff undertake security checks.</w:t>
            </w:r>
          </w:p>
          <w:p w:rsidR="00EB7645" w:rsidRPr="00BE00C7" w:rsidP="00BE00C7">
            <w:pPr>
              <w:pStyle w:val="OutcomeDescription"/>
              <w:spacing w:before="120" w:after="120"/>
              <w:rPr>
                <w:rFonts w:cs="Arial"/>
                <w:b w:val="0"/>
                <w:lang w:eastAsia="en-NZ"/>
              </w:rPr>
            </w:pPr>
            <w:r w:rsidRPr="00BE00C7">
              <w:rPr>
                <w:rFonts w:cs="Arial"/>
                <w:b w:val="0"/>
                <w:lang w:eastAsia="en-NZ"/>
              </w:rPr>
              <w:t>Residents were happy with the emergency and security arrangements.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Residents and families were happy with the environment, including ventilation, and privacy.</w:t>
            </w:r>
          </w:p>
          <w:p w:rsidR="00EB7645" w:rsidRPr="00BE00C7" w:rsidP="00BE00C7">
            <w:pPr>
              <w:pStyle w:val="OutcomeDescription"/>
              <w:spacing w:before="120" w:after="120"/>
              <w:rPr>
                <w:rFonts w:cs="Arial"/>
                <w:b w:val="0"/>
                <w:lang w:eastAsia="en-NZ"/>
              </w:rPr>
            </w:pPr>
            <w:r w:rsidRPr="00BE00C7">
              <w:rPr>
                <w:rFonts w:cs="Arial"/>
                <w:b w:val="0"/>
                <w:lang w:eastAsia="en-NZ"/>
              </w:rPr>
              <w:t>Heating is provided by thermostatically controlled underfloor heating in residents’ rooms. Heat pumps provide heat in the communal areas. A log burner provides heat in the lounge.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(IPC) programme to minimises the risk of infection to residents, staff and visitors. The programme is guided by a comprehensive and current infection control manual, with input from the organisation’s head office. The infection control programme and manual are reviewed annually (January 2022).</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the designated IC nurse, whose role and responsibilities are defined in a job description. Infection control matters, including surveillance results, are reported monthly to the care home manager, and tabled at the quality committee meeting. The infection control committee includes the care home manager, IC nurse, a RN/EN and representatives from food services and household management. Information is reported to regional and national levels on a monthly basis.</w:t>
            </w:r>
          </w:p>
          <w:p w:rsidR="00EB7645" w:rsidRPr="00BE00C7" w:rsidP="00BE00C7">
            <w:pPr>
              <w:pStyle w:val="OutcomeDescription"/>
              <w:spacing w:before="120" w:after="120"/>
              <w:rPr>
                <w:rFonts w:cs="Arial"/>
                <w:b w:val="0"/>
                <w:lang w:eastAsia="en-NZ"/>
              </w:rPr>
            </w:pPr>
            <w:r w:rsidRPr="00BE00C7">
              <w:rPr>
                <w:rFonts w:cs="Arial"/>
                <w:b w:val="0"/>
                <w:lang w:eastAsia="en-NZ"/>
              </w:rPr>
              <w:t>A QR code is available for scanning, a health declaration form, masks and sanitiser were at the main entrance to the facility. Family members are required to make a booking to visit relatives and are required to produce a vaccine certificate under the red traffic light system.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 nurse has appropriate skills, knowledge and qualifications for the role, and has been in this role for six months. She is registered to attend online training in infection prevention. Additional support and information are accessed from the infection control team at the DHB, the community laboratory, the GP and public health unit, as required. The IC nurse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 nurse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reflected the requirements of the infection prevention and control standard and current accepted good practice. Policies were last reviewed in 2021 and included appropriate referencing.</w:t>
            </w:r>
          </w:p>
          <w:p w:rsidR="00EB7645" w:rsidRPr="00BE00C7" w:rsidP="00BE00C7">
            <w:pPr>
              <w:pStyle w:val="OutcomeDescription"/>
              <w:spacing w:before="120" w:after="120"/>
              <w:rPr>
                <w:rFonts w:cs="Arial"/>
                <w:b w:val="0"/>
                <w:lang w:eastAsia="en-NZ"/>
              </w:rPr>
            </w:pPr>
            <w:r w:rsidRPr="00BE00C7">
              <w:rPr>
                <w:rFonts w:cs="Arial"/>
                <w:b w:val="0"/>
                <w:lang w:eastAsia="en-NZ"/>
              </w:rPr>
              <w:t>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on infection prevention and control at orientation and ongoing education sessions. The IC nurse provides education. Content of the training is documented and evaluated to ensure it is relevant, current and understood. A record of attendance is maintained. When an increase in infection incidence has occurred, there was evidence that additional staff education has been provided in response. An example of this occurred when several residents had eye infections.</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the information around COVID-19 restrictions.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eye, gastro-intestinal, and the upper and lower respiratory tract. The IC nurse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IC committee and regional quality manager. Data is benchmarked within the organisation. Benchmarking has provided assurance that infection rates in the facility are average for the sector.</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Forms for a register, assessment, monitoring, and review processes are included.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is the restraint coordinator and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no residents using either an enabler or a restraint. The care home manager reported that restraints and enablers have not been used for at least the last two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Orientation and ongoing education included restraint minimisation and safe practice and managing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The clinical services manager reported that a restraint and/or an enabler would be used as a last resort when all alternatives have been explored, for example, walking frames, sensor mats, low beds.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73"/>
        <w:gridCol w:w="1280"/>
        <w:gridCol w:w="6878"/>
        <w:gridCol w:w="1959"/>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2021 business plan and the review of the 2020 goals was sighted. The care home manager reported that the organisation’s quality and risk managers meet nationally each year to discuss and develop the business plan. The regional manager then approves the plan. The meeting is due to take place in April 2022.</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2022 business plan has not yet been developed. The review of the 2021 goals has not taken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2022 Business Plan has been developed, and that the 2021 goals have been reviewed.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1.2.3.4</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 control system to manage the policies and procedures. This system shall ensure documents are approved, up to date, available to service providers and managed to preclude the use of obsolete documents.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Twelve percent (12%) of the policies and procedures were out of date. The provider was aware of this. The care home manager reported that head office was also aware and that the continuing review of the policies and procedures was planned.</w:t>
            </w:r>
          </w:p>
          <w:p w:rsidR="00EB7645" w:rsidRPr="00BE00C7" w:rsidP="00BE00C7">
            <w:pPr>
              <w:pStyle w:val="OutcomeDescription"/>
              <w:spacing w:before="120" w:after="120"/>
              <w:rPr>
                <w:rFonts w:cs="Arial"/>
                <w:b w:val="0"/>
                <w:lang w:eastAsia="en-NZ"/>
              </w:rPr>
            </w:pPr>
            <w:r w:rsidRPr="00BE00C7">
              <w:rPr>
                <w:rFonts w:cs="Arial"/>
                <w:b w:val="0"/>
                <w:lang w:eastAsia="en-NZ"/>
              </w:rPr>
              <w:t>The provider was not able to provide an employment policy. The care manager reported that a checklist is available to ensure all requirements for the safe employment of an employee is met. The new employee’s information is entered into the human resources electronic system. This allows ‘time target’ to generate the new employee on the roster and provides the template for the new employee to clock their hours of work in ‘time target’.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Twelve percent (12%) of policies and procedures were not current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 provider was not able to provide an employment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policies and procedures are current.</w:t>
            </w:r>
          </w:p>
          <w:p w:rsidR="00EB7645" w:rsidRPr="00BE00C7" w:rsidP="00BE00C7">
            <w:pPr>
              <w:pStyle w:val="OutcomeDescription"/>
              <w:spacing w:before="120" w:after="120"/>
              <w:rPr>
                <w:rFonts w:cs="Arial"/>
                <w:b w:val="0"/>
                <w:lang w:eastAsia="en-NZ"/>
              </w:rPr>
            </w:pPr>
            <w:r w:rsidRPr="00BE00C7">
              <w:rPr>
                <w:rFonts w:cs="Arial"/>
                <w:b w:val="0"/>
                <w:lang w:eastAsia="en-NZ"/>
              </w:rPr>
              <w:t>Provide evidence that an employment policy has been developed and implemented in accordance with good employment practice to meet the requirements of legislation.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Although the three residents administering their medications had been assessed as competent to do so, these assessments were not updated three monthly. It was not documented on the risk summary, in the long term care plan or noted on the electronic medication chart. There was no locked drawer in their rooms to secure medication in and, in the case of one resident, a PRN (as required) medication had not been prescribed by the general practitioner (this was rectified on the day of audit) so there was no record of the frequency that the medication was taken. This resident was interviewed and was competent, knew why they had the medication and when they should take it but did not let staff know when it was used, and said they did not take it very often.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process of safe administration for three residents choosing to administer some of their own medications is not occurring according to the organisation’s medication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policy for safe administration of medication by residents is implemented and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files reviewed showed assessment, planning, provision, evaluation and review of long term care plans (LTCPs) was completed in detail. Personalised and specific medical needs were addressed and evidenced family/whānau input. InterRAI assessments were completed according to the contractual agreement, but LTCPs were not observed to be developed within the required three-week timeframe. Date of completions varied between four and nine weeks. This was observed in recent admissions’ files as well as in older admissions’ files.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reviewed showed care planning was occurring, however none of the files reviewed had the long term care plan developed within the required time frame of three weeks. This varied between four and nine weeks.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long term care plans are developed within three weeks of admission.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1.4.1.6</w:t>
            </w:r>
          </w:p>
          <w:p w:rsidR="00EB7645" w:rsidRPr="00BE00C7" w:rsidP="00BE00C7">
            <w:pPr>
              <w:pStyle w:val="OutcomeDescription"/>
              <w:spacing w:before="120" w:after="120"/>
              <w:rPr>
                <w:rFonts w:cs="Arial"/>
                <w:b w:val="0"/>
                <w:lang w:eastAsia="en-NZ"/>
              </w:rPr>
            </w:pPr>
            <w:r w:rsidRPr="00BE00C7">
              <w:rPr>
                <w:rFonts w:cs="Arial"/>
                <w:b w:val="0"/>
                <w:lang w:eastAsia="en-NZ"/>
              </w:rPr>
              <w:t>Protective equipment and clothing appropriate to the risks involved when handling waste or hazardous substances is provided and used by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Cleaning Schedule – Clinical informs that nursing staff are responsible for ensuring the clinical equipment is kept clean and hygienic. Staff reported that eye protection and face shields are not appropriately cleaned and sanitised after each use. The care home manager reported that reminders were in place to inform staff of the requirement.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Eye protection and face shields are not cleaned and sanitised after use.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eye protection and face shields are cleaned and sanitised after each use.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daily cleaning schedule for the week beginning 24 January 2022 was sighted. Ticks were added to some tasks for 24, 25, 26 and 27 January. The column required initials. There was no documented evidence that cleaning had been completed for 28, 29 and 30 January. The column ‘shift/position responsible’ did not assign the responsibility. Initials were not entered on any examples sighted. A random selection of schedules was sighted, confirming the tasks are not consistently evidenced as being completed. Staff reported that the cleaning was done. This finding is rated low as the facility was observed to be clean.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documentation on the daily cleaning schedules did not evidence that all tasks had been consistently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documentation on the daily cleaning schedules is completed as required by the facility.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(BPA) Limited - Redroofs Rest Home</w:t>
    </w:r>
    <w:bookmarkEnd w:id="58"/>
    <w:r>
      <w:rPr>
        <w:rFonts w:cs="Arial"/>
        <w:sz w:val="16"/>
        <w:szCs w:val="20"/>
      </w:rPr>
      <w:tab/>
      <w:t xml:space="preserve">Date of Audit: </w:t>
    </w:r>
    <w:bookmarkStart w:id="59" w:name="AuditStartDate1"/>
    <w:r>
      <w:rPr>
        <w:rFonts w:cs="Arial"/>
        <w:sz w:val="16"/>
        <w:szCs w:val="20"/>
      </w:rPr>
      <w:t>1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