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Fendalton Lifecare (2006) Limited - Fendalton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Fendalton Lifecare (2006)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Fendalton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February 2022</w:t>
      </w:r>
      <w:bookmarkEnd w:id="7"/>
      <w:r w:rsidRPr="009418D4">
        <w:rPr>
          <w:rFonts w:cs="Arial"/>
        </w:rPr>
        <w:tab/>
        <w:t xml:space="preserve">End date: </w:t>
      </w:r>
      <w:bookmarkStart w:id="8" w:name="AuditEndDate"/>
      <w:r w:rsidR="00A4268A">
        <w:rPr>
          <w:rFonts w:cs="Arial"/>
        </w:rPr>
        <w:t>4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Fendalton Retirement Village is privately owned. The general manager/managing director has 15 years’ experience in aged care management. The general manager is supported by a facility manager, a clinical manager, a unit manager and a quality advisor. </w:t>
      </w:r>
    </w:p>
    <w:p w:rsidRPr="00A4268A">
      <w:pPr>
        <w:spacing w:before="240" w:line="276" w:lineRule="auto"/>
        <w:rPr>
          <w:rFonts w:eastAsia="Calibri"/>
        </w:rPr>
      </w:pPr>
      <w:r w:rsidRPr="00A4268A">
        <w:rPr>
          <w:rFonts w:eastAsia="Calibri"/>
        </w:rPr>
        <w:t xml:space="preserve">The service provides rest home level of care for up to 35 residents in the care centre and up to 14 rest home level of care residents in the serviced studios. On the day of the audit there were 22 residents. Residents, relatives, and general practitioner spoke positively about the care and services provided at Fendalton Retirement Village.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 xml:space="preserve">This certification audit identified the service continues to meet the health and disability standards. </w:t>
      </w:r>
    </w:p>
    <w:p w:rsidRPr="00A4268A">
      <w:pPr>
        <w:spacing w:before="240" w:line="276" w:lineRule="auto"/>
        <w:rPr>
          <w:rFonts w:eastAsia="Calibri"/>
        </w:rPr>
      </w:pPr>
      <w:r w:rsidRPr="00A4268A">
        <w:rPr>
          <w:rFonts w:eastAsia="Calibri"/>
        </w:rPr>
        <w:t>The service has been awarded continuous improvement ratings around good practice in relation to staff education, infection surveillance and activities.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 (HDC) Code of Health and Disability Services Consumers' Rights (the Code) is available in the information presented to residents and their families during their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Cultural values and beliefs are understood and respected.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 xml:space="preserve">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Fendalton Retirement Village has implemented a quality and risk management system. Key components of the quality management system include management of complaints, implementation of an internal audit schedule, incidents and accident reporting and analysis, review of infections, review of risk and monitoring of health and safety including hazards. Facility meeting minutes evidenced discussion around quality data, quality improvements and corrective actions. Human resource policies are in place including a documented rationale for determining staffing levels and skill mixes. There is a roster that provides sufficient and appropriate coverage for the effective delivery of care and there are sufficient staff on duty at all times. There is an implemented orientation programme that provides new staff with relevant information for safe work practice. The education programme includes mandatory training requirements.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is provided to family and residents prior to or on entry to the service. The unit manager (RN) or a registered nurse is responsible for each stage of service provision. The unit manager or registered nurse are responsible for all aspects of care planning, assessment, and evaluation of care with the resident and/or family input.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care residents.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medication competent registered nurses and care leads are responsible for administration of medicines and complete annual education and medication competencies. The unit manager or registered nurse oversee the care leads. The electronic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The main meal is prepared at the sister facility and transported in a designated van. Food, fluid, and nutritional needs of residents are provided in line with recognised nutritional guidelines. There is dietitian review of the menu. Residents commented very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certificate, and all external areas were accessible and of an appropriate standard. There is a preventative and planned maintenance schedule in place. Chemicals are stored securely throughout the facility. Staff receive training and education to ensure safe and appropriate handling of waste and hazardous substances. Electrical equipment has been tested and tagged. All medical equipment and the hoist have been serviced and calibrated. Residents’ rooms are of sufficient space to allow services to be provided and for the safe use and manoeuvring of mobility aids. There are sufficient dining room and lounge areas in all areas. Resident rooms are single occupancy and are personalised. There is a mixture of own and shared ensuite facilities as well as communal toilets.</w:t>
      </w:r>
    </w:p>
    <w:p w:rsidRPr="00A4268A">
      <w:pPr>
        <w:spacing w:before="240" w:line="276" w:lineRule="auto"/>
        <w:rPr>
          <w:rFonts w:eastAsia="Calibri"/>
        </w:rPr>
      </w:pPr>
      <w:r w:rsidRPr="00A4268A">
        <w:rPr>
          <w:rFonts w:eastAsia="Calibri"/>
        </w:rPr>
        <w:t>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 four weeks. A staff member trained in CPR and first aid is on duty at all times. Smoking is only permitted in a designated external area.</w:t>
      </w:r>
    </w:p>
    <w:p w:rsidRPr="00A4268A">
      <w:pPr>
        <w:spacing w:before="240" w:line="276" w:lineRule="auto"/>
        <w:rPr>
          <w:rFonts w:eastAsia="Calibri"/>
        </w:rPr>
      </w:pPr>
      <w:r w:rsidRPr="00A4268A">
        <w:rPr>
          <w:rFonts w:eastAsia="Calibri"/>
        </w:rPr>
        <w:t>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At the time of the audit there were no residents using restraint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the unit manager. The infection control coordinator has completed online training. She is supported by Elmswood clinical manager while transitioning into this role. Staff complete annual training on infection control. There is a suite of infection control policies and guidelines to support practice. Information obtained through surveillance is used to determine infection control activities and education needs within the facility. The service has implemented a Covid-19 management plan based on the traffic light system. There has been one outbreak since the previous audit which was managed well.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5"/>
        <w:gridCol w:w="1280"/>
        <w:gridCol w:w="101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Services Consumers' Rights (the Code) is available in the information presented to residents and their families during entry to the service. Five residents and two relatives interviewed, confirmed that information has been provided around the code of rights. Residents stated their rights are respected when receiving services and care. There is a resident rights policy in place. Staff attend Code of Rights training. Discussion with three healthcare assistants (HCA), two activities staff, one registered nurse (RN) one housekeeper, the cook, and the unit manager identified they were aware of the code of rights and could describe the key principles of residents’ rights in relation their role.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the Code during their induction to the service. This training continues via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and advanced directives. All five resident files reviewed included signed informed consent forms and advance directive instructions. Staff are aware of advance directives. Admission agreements were sighted, which were signed by the resident or nominated representative. Discussion with residents identified that the service actively involves them in decision making.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provided with a copy of the Code of Health and Disability Services Consumer Rights and Advocacy pamphlets on entry. Resident advocates are identified during the admission process. Pamphlets on advocacy services are available at the entrance. Interviews with the residents and relatives confirmed their understanding of the availability of advocacy services. Staff receive education and training on the role of advocacy services. Healthcare assistants (HCAs) understood their role as resident advocates and the residents’ rights to advocacy services. The registered nurse (RN) and HCAs interviewed were aware of the resident’s right to advocacy services and how to access the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being implemented with evidence provided of how the local community supports the facility. Residents attend outings as they are able (e.g. local church services, pet therapy visits, craft group) have been intermittently depending on lockdown status. Residents who are able are supported to come and go from the facility as they please.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complaints policy and procedure that aligns with Code 10 of the Code of Rights and is an integral part of the quality and risk management system. Complaint’s information is available at the entrance and information is provided to relatives at entry. Complaints/compliments forms are available at the front entrance. There is an up-to-date complaint register on an electronic resident management system. The register includes a logging system, complainant, name, dates, investigation, findings, outcome, and response.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complaints in 2020 including one complaint to the Health and Disability commission, three complaints in 2021 and no complaints for 2022 year to date. The Ministry requested follow-up against aspects of a complaint that included (i) wound care service delivery, (ii) wound assessments, wound management, and documentation (iii) timely referrals. There were no identified issues in respect of this complaint. </w:t>
            </w:r>
          </w:p>
          <w:p w:rsidR="00EB7645" w:rsidRPr="00BE00C7" w:rsidP="00BE00C7">
            <w:pPr>
              <w:pStyle w:val="OutcomeDescription"/>
              <w:spacing w:before="120" w:after="120"/>
              <w:rPr>
                <w:rFonts w:cs="Arial"/>
                <w:b w:val="0"/>
                <w:lang w:eastAsia="en-NZ"/>
              </w:rPr>
            </w:pPr>
            <w:r w:rsidRPr="00BE00C7">
              <w:rPr>
                <w:rFonts w:cs="Arial"/>
                <w:b w:val="0"/>
                <w:lang w:eastAsia="en-NZ"/>
              </w:rPr>
              <w:t>Complaints for 2020 and 2021 have been acknowledged and managed in line with the Code timeframes. Complaints are linked to the quality and risk management system. Discussions with residents and relatives confirmed that any issues are addressed and that they feel comfortable to bring up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on The Health and Disability Commissioner Code of Health and Disability Services Consumers’ Rights (the Code) available at the entrance to the care facility. Details relating to the Code and the HDC advocacy service are included in the resident information that is provided to new residents and their families. Aspects of the Code are discussed with residents and their family on admission. Discussions relating to the Code are also held during the residents’ meetings. The code of rights is displayed in English and Māori. There is a welcome information folder that includes information about the code of rights. The resident, family or legal representative has the opportunity to discuss this prior to entry and/or at admission with the facility manager or clinical manager. Residents and relatives confirmed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healthcare assistants interviewed reported that they knock on bedroom doors prior to entering rooms, ensure doors are shut when cares are being given and do not hold personal discussions in public areas.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reported that they promote the residents' independence by encouraging them to be as active as possible. Residents and families interviewed and observations during the audit confirmed that the residents’ privacy is respected. All communal bathrooms and showers have privacy signage/locks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house rules which include a confidentiality clause. Staff complete training on privacy and dignity, and abuse and neglect which begins during their induction to the service and continues as a regular in-service as part of their education plan. Guidelines on abuse and neglect are documented in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and awareness policy to guide staff in the delivery of culturally safe care. A Māori and other Ethnic Groups resource document includes guidance on working with Māori residents. The resource includes Māori values and concepts including the importance of whānau and Te Whare Tapa Wha (a Māori model of health) and references contact details to other Māori providers that are available. Cultural considerations and interventions are identified in the resident’s care plan. There were no Māori residents living at the facility at the time of the audit. Care staff were able to describe how to access information and provide culturally safe care for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The staff demonstrated through interviews and observations that they are committed to ensuring each resident remains a person, even in a state of decline.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Beliefs and values are incorporated into the residents’ care plans. Residents and family/whānau interviewed confirmed they were involved in developing the resident plan of care, which includes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healthcare assistants’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is committed to providing a service of high standard, based on the business mission and philosophy. This was observed during the day with the staff demonstrating a caring attitude to the residents. All residents and families spoke positively about the care provided. This was confirmed in the 2021 resident/family satisfaction survey. The service has implemented policies and procedures developed with the assistance of a quality advisor that provide a good level of assurance that it is adhering to relevant standards. One general practitioner visits  week. Residents are reviewed by a general practitioner (GP) every three months at a minimum. The service receives support from the district health board (DHB). A physiotherapist is on site two weekly and as needed - currently this is weekly. A podiatrist visits the facility every six weeks..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and RNs also have access to internal and external education opportunities. An external Careerforce assessor is contracted as required. The quality advisor provides monthly clinical supervision for registered nurses providing an opportunity for staff to reflect on their clinical practise and consider alternatives. An educator is employed 20 hours per week between Fendalton and a sister facility and actively develops and populates an online system which provides staff with additional educational opportunities. In June 2020 management introduced an activity of daily living competency for care staff. Staff have a sound understanding of principles of aged care and stated that they feel supported and encouraged to attain qualifications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Twelve accident/incident forms reviewed reflected documented evidence of families being informed following an adverse event. Communication through covid lockdown periods was maintained with memos, newsletters, emails, zoom calls and phone calls.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Staff and family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is privately owned by a company of three directors, one of whom is the general manager across two facilities (Elmswood and Fendalton Retirement Village) owned by the company. The directors meet quarterly, and an annual general meeting includes the eight shareholders. The general manager/managing director (GM) is non-clinical and has been in the aged care industry for 15 years. Clinical governance is provided by a contracted quality/risk consultant/registered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supported by a full-time facility manager (with previous aged care experience and a background in business management). The facility manager is non-clinical and has been in the role for six months. A clinical manager with aged care experience has been in the role for four years and has overall responsibility for clinical operations. There is a quality assurance consultant who is responsible for oversight and implementation of the quality programme across both facilities. Both the FM and CM work across the two facilities. They are supported by a unit manager (RN) who is based at Fendalton Monday to Friday. All were present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GM/board member continues to access aged care webinars and provide board members with industry knowledge. The facility manager has attended at least eight hours of education within the last year, related to managing a rest home and hospital including a manager and aspiring leaders study day with an aged care association and regional aged care association meetings. The clinical manager has completed over eight hours of professional development related to her roles. The GM continues to access aged care webinars and provide board members with industry knowledge.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certified to provide up to 49 rest home level residents in the care facility. There are 14 studio apartments certified for rest home level of care. On the day of audit in the care unit, there were 17 rest home residents. There were five rest home level of care residents in the serviced apartments. All residents were under the are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specific to Fendalton Retirement Village and includes reference to a mission statement which aims to provide a positive fulfilling experience of aging in a home where we care and nurture each other. The business plan goals include continued introduction of electronic systems and consideration of development opportunities. Goals are reviewed at quarterly meetings. The service has five identified values:  Quality, Pride, Integrity, Teamwork and Laughter. All staff are orientated to the values and these values are embedded into all levels of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general manager provides management oversight of the facility. The unit manager, including the on-call requirement is supported by a Clinical Manager, RH unit coordinator (an experienced RN with three years with the facility) and hospital unit-coordinators. Four experienced RNs including the clinical manager, rest home and hospital unit coordinators and unit manager (Fendalton) rotate to provide RN on-call for both facilities. The clinical manager is responsible for facility operations in the absence of the  unit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has a quality risk management plan in place that is reviewed annually. The quality advisor oversees the quality programme.  The service has in place a range of policies and procedures which align with current best practice and meet legislative requirements.  Policies have been developed by an external consultant and reviewed regularly.  Staff are required to read reviewed/new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goals are identified at the beginning of each year and progress towards monitoring of goals is documented at monthly quality meetings.  The goals for 2021 included target rates for all key performance indicators and implementing the pandemic policy into daily practice.  Fendalton met all targets in 2021 and evidenced extensive education and knowledge of pandemic protocols as confirmed on interview with clinical and management staff.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Staff are informed of quality results, including corrective actions, via staff meetings and newsletters.  Meeting minutes are available for staff to read.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quality/risk consultant completes a comprehensive facility audit six monthly, covering all aspects of the service including clinical, organisational management, human resources, food services, and environmental areas.  The quality/risk consultant completes a monthly summary of audits with corrective actions, which are implemented by the relevant person.  Additional facility audits are included in the programme such as restraint, infection control, resident files, and medication.  Corrective actions sighted had been completed and closed out as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health and safety and infection control meetings.  Representatives from each service area attend the meetings.  On call review meetings, care lead meetings, clinical meetings and general staff meetings are held at two to three monthly intervals.  Meetings include discussion around quality data including complaints, compliments, health and safety, accident/incidents, infection control and internal audits and outcomes.  Trends are identified and analysed for areas of improvement.  Benchmarking occurs against industry standards.  Staff interviewed confirmed they read meeting minutes and summaries in the two monthly staff newsletters.  Meeting minutes and quality data is displayed for staff.  Management team and unit coordinators are in close daily contact and receive daily reports on relevant/significant aspects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family satisfaction surveys are completed annually in August and September.  All residents and families surveyed reported the service met or exceeded care and services provided in 2021.  Results from the surveys are collated and fed back to participants through meetings and by newsletter.  Any areas of concern are raised as an opportunity for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the health and safety officer for the staff, contractors, visitors, and residents. The health and safety committee comprise of representatives from all areas and includes the facility manager, clinical manager, and unit manager.  The hazard register is current and reviewed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risk management and health and safety framework, there is an accident/incident policy. Individual reports are completed for each incident/accident through the resident electronic system. The service collects incident and accident data and reports monthly to the health and safety committee and to clinical and quality meetings. Accident/incident data, trends and corrective actions are documented in meeting minutes sighted. Twelve incident forms were reviewed. All incident forms identified timely RN assessment of the resident and corrective actions to minimise resident risk. Neurological observations had been completed for suspected known head injury. The next of kin had been notified for all incidents/accidents. The healthcare assistants interviewed could discuss the incident reporting process. The unit manager collects incident/accident forms, completes investigations, and implements corrective actions as required. There is a discussion of incidents/accidents at H &amp; S quality and staff meetings including actions to minimise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could describe situations that would require reporting to relevant authorities. There has been one report to the public health/DHB for an outbreak in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Six staff files were selected for review (three healthcare assistants, one diversional therapist, one cook and the unit manager (RN). Files reflected evidence of the recruitment and induction process, including reference checking, signed employment contracts, job descriptions, and completed orientation programmes. The service uses an electronic human resources system commencing at the onboarding process and providing storage of contracts, consents, reference checks, competencies, and training. All files reviewed contained relevant employment documentation including but not limited to signed position descriptions, completed orientations, police checks and qualifications. Annual performance appraisals have been completed for those staff who have been employed for more than one year.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an educator with a national certificate in adult education to develop and implement the orientation and annual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including completion of core competencies. Care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encouraged the opportunity to commence Careerforce aged care qualifications and are supported by the staff educator. Currently there are 18 care staff. Ten healthcare assistants (HCAs) have level 4 NZQA, and three HCAs have level 3 and one with level 2. External Careerforce assessors are contracted to the facility. The quality advisor is also a Careerforce assessor and can assist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that includes mandatory training across 2021 and 2022. Toolbox talks are held when required at handovers. Care staff attend over eight hours training. The service uses an online training programme developed by the staff educator which is role specific and linked to the facility policies and procedures. Staff are notified of required training courses through the roster system and monitored to complete training sessions each month. The education planner includes training that is relevant to rest home services including but not limited to: manual handling, hoist training, chemical safety, emergency management including fire drills, personal protective equipment (PPE) training, nutrition, care of the dying, wound care, pressure injury prevention and falls prevention. Manual handling training is completed by the physiotherapist on an annual basis or on request. </w:t>
            </w:r>
          </w:p>
          <w:p w:rsidR="00EB7645" w:rsidRPr="00BE00C7" w:rsidP="00BE00C7">
            <w:pPr>
              <w:pStyle w:val="OutcomeDescription"/>
              <w:spacing w:before="120" w:after="120"/>
              <w:rPr>
                <w:rFonts w:cs="Arial"/>
                <w:b w:val="0"/>
                <w:lang w:eastAsia="en-NZ"/>
              </w:rPr>
            </w:pPr>
            <w:r w:rsidRPr="00BE00C7">
              <w:rPr>
                <w:rFonts w:cs="Arial"/>
                <w:b w:val="0"/>
                <w:lang w:eastAsia="en-NZ"/>
              </w:rPr>
              <w:t>Training for clinical staff is linked to external education provided by the district health board. Registered nurse specific training viewed included: syringe driver, wound care, and first aid. There are two RNs employed to work at the facility (including the unit manager) and one is interRAI trained. The unit manager (RN) has been enrolled for the next available course. The clinical manager with the support of the unit manager provides oversite of the registered nurses and HCAs.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 for safe service delivery. A roster provides sufficient and appropriate coverage for the effective delivery of care and support. The unit manager (RN) is employed full time 8 am to 4.30 pm (Monday – Friday) and available after hours. A second registered nurse supports the unit manager four hours per week and as required. After hours support is provided by the CM, two UCs and the UM on an on-call rotation across Fendalton and Elmswood.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 staffing for 22 rest home residents: AM: two long and one short shift (7 am to 3 pm and 7 am to 1 pm); PM: two long and one short shift (3 pm to 11 pm and 4.30 pm to 9 pm); night – two long shifts 11 pm to 7 am.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at all times. Staff stated they feel supported by the management who respond quickly to after hour calls.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Residents’ files demonstrate service integration. An electronic patient management system is embedded into practice. All entries in the electronic progress notes are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level of care. The service has specific information available for residents/families/whānau at entry and includes associated information such as the Code, advocacy, and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available to all residents/family/whānau on enquiry or admission. The information includes examples of how services can be accessed that are not included in the agreement. The unit manager and the registered nurse interviewed were able to describe the entry and admission process. The GP is notified of a new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signed admission agreements were sighted. The admission agreement reviewed aligns with the ARRC contract.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yellow envelope system is used for transfers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that meet legislative requirements are in place and implemented. The RNs and care leads (senior caregivers) who administer medications complete annual medication competencies and education on medication is provided. All medication is stored in a locked cupboard. Fridge and air temperatures met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manager/RN does a weekly check for expired medication. Unwanted or expired medications are collected by the pharmacy weekly. The pharmacy manager also checks expired or unused medication weekly. Medicines (blister packs) are delivered weekly by the pharmacy, checked by the unit manager/RN on-site verified on the electronic medication system. Any discrepancies are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for residents self-administering are in place and this includes ensuring residents are competent and safe storage of the medications. There was one resident who self-administers specific medications on the day of the audit. The residents’ medications were observed in a secure lock box in the resident room. The resident had competencies in place which had been signed and reviewed three-monthly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standing orders or ‘nurse initiated’ medications used. All eye drops in use were noted to be dated at opening or discarded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A medication round was observed; the procedure followed by the registered nurse was correct and safe. The service uses an electronic medication administration system.</w:t>
            </w:r>
          </w:p>
          <w:p w:rsidR="00EB7645" w:rsidRPr="00BE00C7" w:rsidP="00BE00C7">
            <w:pPr>
              <w:pStyle w:val="OutcomeDescription"/>
              <w:spacing w:before="120" w:after="120"/>
              <w:rPr>
                <w:rFonts w:cs="Arial"/>
                <w:b w:val="0"/>
                <w:lang w:eastAsia="en-NZ"/>
              </w:rPr>
            </w:pPr>
            <w:r w:rsidRPr="00BE00C7">
              <w:rPr>
                <w:rFonts w:cs="Arial"/>
                <w:b w:val="0"/>
                <w:lang w:eastAsia="en-NZ"/>
              </w:rPr>
              <w:t>Ten individual residents’ medication charts were reviewed. Resident medication charts are identified with photographs. All charts had been correctly signed and all discontinued medications had been signed and dated. All ‘as required’ (PRN) medications included indication for use and the effectiveness of ‘as required’ medications was documented in the electronic medication system. There was evidence of three-monthly review by the GP. Allergies were recorded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individual food, fluids and nutritional needs were met. Residents are provided with a balanced diet which meets their cultural and nutritional requirements. All main meals at the service are prepared at the sister facility site, Elmswood Retirement Village. Meals are delivered to the service via a designated van in hot boxes and put directly into the bain-marie and served to residents by the onsite cook. The cook prepares breakfast, soup, baking and snacks and ensures all compliance tasks are completed. There are two cooks who cover the seven-day week. The cook is supported by two kitchen assistant positions, one who works from 8 am-12 pm and one who works 5 pm-8 pm. There is a five-weekly winter and summer menu, which had been reviewed by a dietitian in October 2021. Temperatures of food are recorded on delivery. There is a kitchen next to the dining room where food is prepared. Food is transported to the serviced studio dining room in the bain-marie and served to residents. Staff were observed delivering meals and assisting residents with their lunchtime meals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current menu evidenced dietetic input into the provision of special menus and diets where required. A dietary assessment is completed on all residents at the time they are admitted. Residents with special dietary needs, allergies, cultural and religious preferences, likes, and dislikes have these needs identified. Resource information on these diets is available in the kitchen and via the dietitian. A dietary requirement list is generated from the electronic system and includes new admissions and dietary changes. The list is posted on a noticeboard in the kitchen. Resident dietary profiles and likes and dislikes were known to food service staff. Supplements are provided to residents with identified weight loss issues. Weights are monitored monthly or more frequently if required, and as directed by a dietitian.</w:t>
            </w:r>
          </w:p>
          <w:p w:rsidR="00EB7645" w:rsidRPr="00BE00C7" w:rsidP="00BE00C7">
            <w:pPr>
              <w:pStyle w:val="OutcomeDescription"/>
              <w:spacing w:before="120" w:after="120"/>
              <w:rPr>
                <w:rFonts w:cs="Arial"/>
                <w:b w:val="0"/>
                <w:lang w:eastAsia="en-NZ"/>
              </w:rPr>
            </w:pPr>
            <w:r w:rsidRPr="00BE00C7">
              <w:rPr>
                <w:rFonts w:cs="Arial"/>
                <w:b w:val="0"/>
                <w:lang w:eastAsia="en-NZ"/>
              </w:rPr>
              <w:t>A kitchen cleaning schedule was in place and implemented. Labels and dates on all containers and records of food temperature monitoring were maintained. The chiller, fridge and freezer temperatures were monitored. The kitchen was observed to be clean and well organised. All aspects of food procurement, production, preparation, storage, delivery, and disposal complied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and food safety procedures were adhered to. The main cook is a qualified chef with 4 years’ experience. The food control plan expires 2 March 2022.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provide an opportunity for resident feedback on the meals and food services. Interviews with residents and family members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prospective residents to the service is recorded. Should this occur, the service stated it would be communicated to the prospective resident/family/whānau and the appropriate referrer. Potential residents would only be declined if there were no beds available or they did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or the registered nurse (RN) complete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acute health changes. InterRAI assessments and long-term care plans were completed within the required timeframes and outcomes of assessments were reflected in the needs and supports documented in the care plans on the electronic system. Other available information such as discharge summaries and plans, allied health notes, and consultation with resident/relative or significant others are included in the electronic long-term care plans. Wound assessments were completed to assist with wound management. The outcomes of assessments forms the basis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sampled all included a care plan and input from allied health. There was evidence of service integration with documented input from a range of specialist care professionals, including wound specialists, dietitians, diabetic nurse specialist, palliative aged residential care nurse specialist, physiotherapy, and podiatry support. The service uses electronic assessments which then update long term care plans for changes in health status. Short-term needs are added to the long-term care plan when appropriate and removed when resolved. Resident care plans reviewed were resident centred and documented the required support needs in sufficient detail. Activities assessments and plans were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confirmed they were happy with the delivery of care. Healthcare assistants interviewed reported they found the care plans easy to follow and contain information to provide quality care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adequate and appropriate services meeting their assessed needs and desired outcomes. Interventions were documented for each goal in the long-term care plans. Interventions from allied health providers are included in the long-term and short-term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and continence products are readily available. There are sufficient stocks of personal protective equipment (PPE) to meet requirements. If external allied health requests or referrals are required, the unit manager or RN initiates the referral (e.g. wound care specialist, continence specialist, dietitian, or older persons health team). A physiotherapist visits two weekly and reviews residents as required. The unit manager, clinical manager and RN interviewed were able to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and management plans were in place for five residents with eight wounds: four minor skin tears, two lacerations, one chronic vascular ulcer and one discharging jaw abscess. There were no pressure injuries. Wound specialty services were involved as indicated. The care plans reflect interventions around management of wounds and dressings. The GP interviewed confirmed that he is confident with the staff management of wound care and that they consult with him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included a urinary continence assessment, bowel management plan, and continence products used. There were adequate supplies of incontinence products. The unit manager, clinical nurse manager and RN interviewed confirmed continence advice can be obtained. Changes in health such as weight loss, wound management or infections are assessed and reflected in the electronic long 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monitoring including positioning charts, monthly (or more frequent) weight and vital sign monitoring, blood glucose levels food and fluid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interviewed stated that the clinical care is good and that they are involved in the care planning. Interviews with the unit manager, registered nurse and healthcare assistants demonstrated understanding of the individualised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confirmed that independence is encouraged, and choices are offered to residents. The qualified diversional therapist and activities staff member provide an activities programme Monday to Friday for 7.5 hours per day. The diversional therapist works three days per week and the activities staff member works two days per week. The programme includes a range of activities which meets the abilities and needs of rest home residents. Rest home studio residents were observed joining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included physical, mental, spiritual, and social aspects of life to improve and maintain residents’ wellbeing. Activities include (but not limited to) news and word games, housie, crafts, baking, quizzes, curling, golf, entertainment, van outings, shopping, church services, walking groups, pet therapy, community visits and exercises. Interviews with residents identified that activities provided were appropriate to the needs, age, and culture of the residents. The programme has been rejuvenated to include an emphasis on van outings to the community activities, including residents’ requests to see more of the countryside and changes to Christchurch city following the earthquake repairs. The van outings have also included more picnic, lunch, and coffee trips. The programme is planned monthly, and residents receive a personal copy of planned monthly activities. Activities planned on the day were displayed on noticeboards around the facility. The activities are physically and mentally stimulating. The service has a van that is used for resident outings. Combined activities with the sister village Elmswood were arranged depending on Covid restrictions. Residents were observed participating in activities on the days of audit. One-on-one time is spent with residents with individual activities such as walks, reading and chats, occur for residents who choose not to be involved in group activities. Themes and events are celebrated. Activity staff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On admission, the diversional therapist completes a profile and activity plan for each resident. A record is kept of individual residents’ activities and progress notes are completed weekly. Reviews are conducted six-monthly (or earlier should the residents condition determine) as part of the care plan evaluation/review.</w:t>
            </w:r>
          </w:p>
          <w:p w:rsidR="00EB7645" w:rsidRPr="00BE00C7" w:rsidP="00BE00C7">
            <w:pPr>
              <w:pStyle w:val="OutcomeDescription"/>
              <w:spacing w:before="120" w:after="120"/>
              <w:rPr>
                <w:rFonts w:cs="Arial"/>
                <w:b w:val="0"/>
                <w:lang w:eastAsia="en-NZ"/>
              </w:rPr>
            </w:pPr>
            <w:r w:rsidRPr="00BE00C7">
              <w:rPr>
                <w:rFonts w:cs="Arial"/>
                <w:b w:val="0"/>
                <w:lang w:eastAsia="en-NZ"/>
              </w:rPr>
              <w:t>Covid-19 risk management strategies has meant continuing periods of reduced access for visitors to the facility. Regular video sessions were held with families at these times. Technology devices were also used.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they enjoyed the variety of activities and were satisfied with the activities programme. Feedback from the residents is gained through annual surveys and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 term residents reviewed were evaluated by the unit manager or registered nurse within three weeks of admission. The GP has reviewed residents three monthly. Assessments for short term changes in health are added to the long-term care plan and removed when resolved. Files sampled demonstrated that the long-term nursing care plan was evaluated at least six-monthly or earlier if there is a change in health status. Progress notes reviewed identified regular reviews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GP and unit manager or RN involve the resident (as appropriate) and relative in discussions around referrals and options for care.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are in place for the management of waste and hazardous substances to ensure incidents are reported in a timely manner. Safety datasheets and products charts are readily accessible for staff. Chemicals are stored in a locked cupboard. Appropriate signage is displayed where necessary. Chemical bottles sighted have correct manufacturer labels. Personal protective clothing is available for staff and was observed being worn by staff when they were carrying out their duties on the day of audit. All staff have completed chemical safety, which is due in April 2022.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is a two-storey building, which is spacious, and with all rooms fully furnished and personalised. The service has a lift with current compliance. Fixtures and fittings are appropriate and meet the needs of the residents. There is a current building warrant of fitness which expires 1 April 2022. Regular and reactive maintenance occurs. The maintenance person was unable to be interviewed. He has been employed at the facility for seven years and works thirty-five hours per week and is available on call as required. The general manager interviewed advised that he completes maintenance requests and repairs, planned maintenance and grounds. Staff requests for repairs are either verbal or  via maintenance book at reception. A record is maintained of all repairs by the maintenance person. There is a monthly planned maintenance schedule in place and all maintenance undertaken is monitored by the unit manager. Planned maintenance includes interior and exterior building, equipment checks, electrical checks and monthly hot water temperature checks. Essential contractors are available 24 hours. On the day of audit, the maintenance person from the sister village Elmswood was on site for maintenance and repairs.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Corridors and public areas are light and spacious, and residents can walk around freely. There is safe ramp access to courtyards and garden areas. Outdoor areas have wrap-around established gardens. Seating and shade are provided. The facility has one resident van that has current registration and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there is adequate equipment available to safely deliver the cares as outlined in the residents’ care plans. Medical equipment including scales and a hoist have been checked and calibrated in September 2021. Testing and tagging of electrical equipment has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are able to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at the service are single rooms with either an individual or a shared ensuite. There are 14 single serviced studios certified for rest home level care and all had ensuites. Five rest home level care residents occupied a serviced studio. There are sufficient numbers of resident communal toilets in close proximity to communal areas. Residents interviewed, stated their privacy and dignity is maintained while attending to their personal cares and hygiene. Fixtures, fittings and floor and wall surfaces are made of accepted materials to support good hygiene and infection control practices for this environment. The communal toilets and shared ensuites are well signed and identifiable and include vacant/in-use signs. Appropriately secured and approved handrails are provided in the toilet/shower areas, and other equipment/accessories are available to promote resident independence. Hot water temperatures are monitored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for single use and of an appropriate size to allow care to be provided and for the safe use and manoeuvring of mobility aids to meet the assessed resident needs. Some rooms have shared ensuites with appropriate locks and vacant/in use signs on the door. All beds are of an appropriate height for the residents. Healthcare assistants interviewed reported that rooms have sufficient space to allow cares to take place. Rooms were personalised with residents own furnishings and adornments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separate dining room, and a small day room lounge with seating areas situated throughout the facility. Activities take place in any of these areas. Residents are free to use alternate areas if they do not want to participate in communal activities that are being run in one of these areas. The dining room is spacious and located directly off the kitchen/servery area. There is a large dining/lounge room in the serviced studio area. All areas are easily accessible for the residents. The furnishings and seating are appropriate for the consumer group. External areas are safely accessible and include wrap around garden pathways. There is a smoking area for residents outside of the building. Residents interviewed confirmed satisfaction with the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chemicals are securely stored in locked cupboards and are labelled. Cleaning and laundry policies and procedures are available. There are safe and secure storage areas for cleaning equipment and chemicals and staff have access to these areas as required. Product user charts, chemical safety datasheets for chemicals used in the facility, cleaning manuals and task sheets were reviewed. A sluice area is available for the disposal of soiled water/waste. 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Housekeeping staff are employed to attend to cleaning. All personal clothing is laundered on site by night staff. All other items are laundered off site at Elmswood retirement village. A designated van transports the linen. The van is fitted with separate compartments for clean and soiled laundry. The laundry has a defined clean/dirty area. Residents and relatives interviewed confirmed the facility is kept clean and tidy and there were no concerns around the laundry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protective personal clothing including eye goggles available. Laundry staff have completed chemical safety training. Residents and relatives interviewed confirmed the facility is kept clean and tidy and the laundry is managed well, and their clothes are returned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There is a New Zealand Fire Service approved evacuation scheme. There are emergency flip charts throughout the facility for all emergency disasters. The orientation programme and annual education/training programme includes fire, security, and emergency/civil defence situations. Care leads complete fire warden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available in the event of a civil defence emergency including food, external water tank (1000 litre), gas cooking and heating. The civil defence kits are checked three-monthly. There is an emergency process for access to paper-based medication charts. A call bell system is in place including all resident rooms and communal areas. Residents were observed in their rooms with their call bell within reach. There is a minimum of one staff available 24 hours a day, seven days a week with a current first aid/CPR certificate. A first aid trained staff member accompanies residents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Heating is via electrical ceiling heating. Residents are provided with adequate natural light, safe ventilation, and an environment that is maintained at a safe and comfortable temperature. All bedrooms have adequate natural light. All rooms have external windows that open, allowing plenty of natural sunlight. Some rooms have an external door access. Security measures in place and are monitored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facilities are maintained at a comfortable temperature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infection control plan is developed by the clinical team with input from the quality advisor and specialists as required. The programme includes infection prevention and antimicrobial management that align with the organisation’s strategic document. The management team knows and understands their responsibilities for delivering the infection control and antimicrobial programmes and seek additional support where needed to fulfil these responsibilities.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entertainers and contractors are required to have a vaccination pass. At this stage unvaccinated visitors are able to visit within a designated area only.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(infection control coordinator) is supported from Elmswood a registered nurse (CM) who has been in the role for four years and both have a signed job description that outlines the role and responsibilities of the role while unit manager transitions to her role. The infection control team includes representatives from each area of the service and meet bimonthly. Meeting minutes are available to all staff and infection control is an agenda topic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coordinator has completed the on-line health learn infection control training in 2022 and support CM in 2021. There is access to infection control expertise within the DHB, aged care consultant, external infection control specialist, wound nurse specialist, public health, laboratory, and microbiologist.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policies, procedures, and the pandemic plan have been updated to include Covid-19 response guidelines and precautions, in line with current Ministry of Health recommendations. The service has developed a comprehensive visual pandemic plan that includes actions at each of the traffic light levels. The pandemic plan includes sections for access, visitors, clinical, activities and staff.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aged care consultant and last reviewed January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Specific training on the management of Covid has been provided and includes donning and doffing of personal protective clothing and required interventions at each of the traffic light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Individual infection reports are completed for all infections and entered into the electronic system. Infection control data and relevant information is displayed for staff. Definitions of infections are in place appropriate to the complexity of service provided. Infection control data is discussed at both the infection control committee meeting, quality, clinical and general staff meetings. Trends are identified and preventative measures put in place. Internal audits for infection control are included in the annual audit schedule.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confirmed gastrointestinal outbreak in June 2020. Relevant documentation was sighted including notification to public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residents have been fully vaccinated including boosters. The room undergoes a full clean after each visit.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continue to work on maintaining low urinary tract infection rates.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A registered nurse is the designated restraint coordinator. Staff receive regular training on restraint minimisation and training around managing behaviours that challenge. The healthcare assistants interviewed were able to describe the difference between an enabler and a restraint. There were no residents using an enabler or a restraint at the time of the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073"/>
        <w:gridCol w:w="76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systems to provide a good level of assurance that it is meeting accepted good practice and adhering to relevant standards including those standards relating to the Health and Disability Services (Safety) Act 2001. Policies and procedures are regularly updated, and reviews are conducted. Fendalton employs a qualified staff educator (across Fendalton and sister facility Elmswood) who provides accessible and informative online educational opportunities. The educator works closely with clinical staff to provide a variety of tools designed to upskill all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identified an opportunity to improve HCA understanding of care planning implementation in June 2020. As part of this, RNs completed one on one theory and practical assessment education for all healthcare assistants. A new activity of daily living competency for care staff was developed including a comprehensive assessment tool. In July two of nine HCA staff assessed failed the initial assessment. Additional strategies were implemented to support the staff to succeed. The assessment was repeated a year later and there was a 100% pass rate. Additional toolbox training on manual handling was implemented in October 2021. The additional education has contributed to a continued 100% overall resident satisfaction. All clinical indicators have supported the conclusion of improved care as evidenced by skin infections and bruising reductions. The service identified that over the last 12 months overall bruising rates have trended downwards, falling from 1.7 incidents/1000 bed nights in 2020 to 0.77 incidents/1000 bed nights in 2021. Skin infections have fallen from 1.7 incidents/1000 bed nights to 0.42 incidents/1000 bed nights. There have been no skin infections since June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2020 November resident survey of rest home residents identified an improvement around providing more interesting and meaningful van outings. Many residents expressed an interest in the van outings. The staff also identified the need to review the van outings due to resident numbers increasing of those who were finding it difficult to transfer on and off the van. The service saw an opportunity to further develop the van outings to include the residents’ requests and introduce more variety and type of outings and to improve the resident’s mental health and wellbeing especially during Covid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commenced a project in December 2020 with identified goals and an action plan to include more varied and type of van outings. The residents were involved in suggesting van outings as discussed in the residents’ meetings of April and October 2021. Van outings have included more locations of interest such as countryside trips, beach trips, trips to the Christchurch city to see all the new buildings following the earthquake repairs. The outings have also included picnics, afternoon teas, lunch, and coffee days. The outings have catered for the needs and requests of the residents and their abilities to safely transfer on and off the van. Residents have shared their experiences with photos of the outings displayed in the facility and in the newsletters. The service has achieved its goal of improving the van outings for the residents. There has been an increase in rest home satisfaction surveys with the specific question on van outings activities from 80% satisfied in 2020 to 100% in 2021. On the day of audit residents were observed boarding the van for their outing with enthusiasm and excitement. Residents and relatives interviewed expressed satisfaction and a great improvement on the variety and types of van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events are collated monthly and areas for improvement are identified and corrective actions developed and followed up. The facility is benchmarked against Australian benchmarking standards and benchmarking results are fed back to the infection control nurse and used to identify areas for improvement. Surveillance results are used to identify infection control activities and education needs within the facility. The service has successfully reduced incidences of all infections with a particular focus upon urinary tract infections (UTIs).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early 2021, the service, in conjunction with the Health Quality and Safety Commission (HQSC) commenced a project to reduce the unnecessary use of antibiotics for asymptomatic bacteriuria and reduce the incidence of UTIs. A review of 2020 data identified that not all episodes of reported urinary tract infections (UTIs) met the accepted definition. Both facilities (Elmswood and Fendalton) provided education on four HQSC modules which introduced the (i) aim of the project, (ii) correct diagnosis, (iii) recognition of signs and symptoms and identifying risk factors and prevention of UTIs and (iv) the risk of overuse of antibiotics. Changes in practise were supported by the introduction of a process flow chart identifying steps to be followed for suspected UTIs. Specific education was provided to RNs and care leads including both group and individual discussion. The SBAR tool (situation, background, assessment request) was used prior to requesting review. The service identified that over the last 12 months urinary tract infection rates have trended downwards, falling from 1.59 incidents/1000 bed nights in the rest home for 2020 to 0.75 incidents/1000 bed nights in 2021. The service has implemented and maintained a focus of staff training in UTI prevention, particularly relating to perineal hygiene, regular toileting, and fluid maintenance. As a result of increased staff awareness, knowledge, and best practise in diagnosing and treating UTIs, the service has successfully reduced the incidence of UTIs across both rest homes.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Fendalton Lifecare (2006) Limited - Fendalton Retirement Village</w:t>
    </w:r>
    <w:bookmarkEnd w:id="58"/>
    <w:r>
      <w:rPr>
        <w:rFonts w:cs="Arial"/>
        <w:sz w:val="16"/>
        <w:szCs w:val="20"/>
      </w:rPr>
      <w:tab/>
      <w:t xml:space="preserve">Date of Audit: </w:t>
    </w:r>
    <w:bookmarkStart w:id="59" w:name="AuditStartDate1"/>
    <w:r>
      <w:rPr>
        <w:rFonts w:cs="Arial"/>
        <w:sz w:val="16"/>
        <w:szCs w:val="20"/>
      </w:rPr>
      <w:t>3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