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Redwood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Redwood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2022</w:t>
      </w:r>
      <w:bookmarkEnd w:id="7"/>
      <w:r w:rsidRPr="009418D4">
        <w:rPr>
          <w:rFonts w:cs="Arial"/>
        </w:rPr>
        <w:tab/>
        <w:t xml:space="preserve">End date: </w:t>
      </w:r>
      <w:bookmarkStart w:id="8" w:name="AuditEndDate"/>
      <w:r w:rsidR="00A4268A">
        <w:rPr>
          <w:rFonts w:cs="Arial"/>
        </w:rPr>
        <w:t>28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Redwood Lifestyle and Care Village is undertaking a site refurbishment, which commenced in 2021 and is being undertaken in two stages.  Stage one is planned to be completed end of February 2022 and completion of the project is expected by the end of 2022/early 2023. Stage one has two new care suites, two rooms reconfigured into care suites and one reconfigured standard room. A new kitchen, two dining areas, a servery, sluice room, staff rooms and temporary reception area. This will increase the number of dual-purpose beds to 37. The organisation has kept the Ministry and DHB informed of these changes.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Oceania Group owns and operates Redwood Rest Home and Village. The facility presently provides rest home and hospital level care for up to 30 residents, which can include younger people with physical and/or intellectual disabilities. The facility is managed by a business and care manager (BCM), supported by a clinical manager (CM), regional management (business, clinical and health and safety) and the centrally based national office staff. The organisation has system and processes in place to manage COVID-19 at all Ministry levels.</w:t>
      </w:r>
    </w:p>
    <w:p w:rsidRPr="00A4268A">
      <w:pPr>
        <w:spacing w:before="240" w:line="276" w:lineRule="auto"/>
        <w:rPr>
          <w:rFonts w:eastAsia="Calibri"/>
        </w:rPr>
      </w:pPr>
      <w:r w:rsidRPr="00A4268A">
        <w:rPr>
          <w:rFonts w:eastAsia="Calibri"/>
        </w:rPr>
        <w:t xml:space="preserve">There have been no changes to senior staffing since the last audit. The facility has recommissioned three beds since the last audit and work continues on a major site refurbishment, in two phases. Phase one is near completion and was visited, as requested by the Ministry, as part of this audit. This area is planned to be ready for occupation on the 11 February 2022 and the full site redevelopment completed by the end of the year. The Ministry does not require a partial provisional audit at this stage only comments related to this stage and these are made throughout the report of the project. No issues were seen related to the phase one for occupancy by residents (five).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DHB. The audit process included review of policies and procedures, review of residents’ and staff files, observations and interviews with residents, family members, managers, staff, and a nurse practitioner. Residents and family members spoke positivity of the care received.</w:t>
      </w:r>
    </w:p>
    <w:p w:rsidRPr="00A4268A">
      <w:pPr>
        <w:spacing w:before="240" w:line="276" w:lineRule="auto"/>
        <w:rPr>
          <w:rFonts w:eastAsia="Calibri"/>
        </w:rPr>
      </w:pPr>
      <w:r w:rsidRPr="00A4268A">
        <w:rPr>
          <w:rFonts w:eastAsia="Calibri"/>
        </w:rPr>
        <w:t xml:space="preserve">Following a Health and Disability Commissioner complaint, the Ministry requested the auditors review the work on the recommendations made in the Commissioner’s report. The organisation has undertaken considerable work in the identified areas and this audit identified that the recommendations were being met. Comment on the work is contained in the relevant areas of this report.   </w:t>
      </w:r>
    </w:p>
    <w:p w:rsidRPr="00A4268A">
      <w:pPr>
        <w:spacing w:before="240" w:line="276" w:lineRule="auto"/>
        <w:rPr>
          <w:rFonts w:eastAsia="Calibri"/>
        </w:rPr>
      </w:pPr>
      <w:r w:rsidRPr="00A4268A">
        <w:rPr>
          <w:rFonts w:eastAsia="Calibri"/>
        </w:rPr>
        <w:t xml:space="preserve">This audit has resulted in continuous improvement ratings in relation to staffing and medication management. No areas were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(HDC) Code of Health and Disability Services Consumers’ Rights (the Code) and these are respected. Personal privacy, gender,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Younger people with disabilities were able to express themselves freely.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 xml:space="preserve">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Few complaints are received for the service and a complaints register is maintained. Complaints were being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These include appropriate references to younger people with disabilities who are residents.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were appropriate. Staff are involved and feedback is sought from residents and families. Adverse events are documented with corrective actions implemented. Actual and potential risks, including health and safety risks, are identified and mitigated. Policies and procedures support service delivery to all residents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or nurse practitioner, assess residents’ needs on admission.  Care plans are individualised, based on a comprehensive range of information, and accommodate any new problems that might arise.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 xml:space="preserve">Medicines are safely managed and administered by staff who are competent to do so. </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and shade and seating were being provided. There are various areas provided for younger people with disabilities.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Personalised equipment for younger people with disabilities is well maintained and safely stored in their rooms, or nearby. Laundry is undertaken off 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The service’s emergency plan considers the special needs of younger people with disabilities in an emergency.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Two enablers were in use at the time of audit. Use of enablers is voluntary for the safety of residents in response to individual requests. </w:t>
      </w:r>
    </w:p>
    <w:p w:rsidRPr="00A4268A">
      <w:pPr>
        <w:spacing w:before="240" w:line="276" w:lineRule="auto"/>
        <w:rPr>
          <w:rFonts w:eastAsia="Calibri"/>
        </w:rPr>
      </w:pPr>
      <w:r w:rsidRPr="00A4268A">
        <w:rPr>
          <w:rFonts w:eastAsia="Calibri"/>
        </w:rPr>
        <w:t>One resident had restraints in use for safety. A comprehensive assessment, approval and monitoring process with regular reviews occurs for all restraints.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trained infection control coordinator, aims to prevent and manage infections. The programme is reviewed annually. Specialist infection prevention and control advice is accessed from the organisation’s support office when needed. </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2"/>
        <w:gridCol w:w="1280"/>
        <w:gridCol w:w="96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Redwood Rest Home and Village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provided by the clinical manager (CM), included as part of the orientation process for all staff employed and in ongoing training, as this was verified in training records (9 November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Additional consents were sighted for COVID-19 vaccinations.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clinical manager (CM) confirmed that advocacy services had not been used but that when a complaint is lodged the response letter acknowledging it included information on how to contact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All residents continue with their community general practitioner (GP) assisted by a nurse practitioner (NP) as the facility does not have a ‘house doctor’. Some residents attend doctor appointments at the surgery if they are 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currently has restricted visiting hours under the Ministry’s COVID-19, red traffic light system. Family members interviewed stated they felt welcome when they visited and comfortable in their dealings with staff. Younger residents are encouraged to participate in community, use public transport and attend events promoting access to family and friends.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complaints policy and compliment, suggestion, complaint form meet the requirements of Right 10 of the Code. The forms can be handed to the facility manager or put into the complaint’s box in the reception area. Information on the complaint process is provided to residents and families as part of the ‘welcome pack’ on admission and those interviewed knew how to do so. High risk and external complaints, such as from the office of the Health and Disability Commissioner (HDC), are sent through the regional manager then onto the group general manager – clinical care services at Oceania’s national office for management. There have been no external complaints, such as HDC complaints since the 2018 complaint. Review with the business care manager and clinical manager showed that all the recommendations from this HDC report have been actioned.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10 complaints have been received during 2021 and actions taken, through to an agreed resolution, are documented and completed within the timeframes. Action plans showed any required follow up and improvements have been made where possible. The business and care manager (BCM)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through the admission information provided and discussion with staff. The Code is displayed in the hallway. Information on advocacy services, how to make a complaint and feedback forms are available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including younger people with disabilities (YPD),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 There is one room that can accommodate a couple if requested.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and in clubs of their choosing, with appropriate opportunities for younger people with disabilities.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(9 November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able to support residents in the service who identify as Māori to integrate their cultural values and beliefs. The principles of the Treaty of Waitangi are incorporated into day to day practice. The Māori Model of Care ‘Te Whare Tapa Wha’ guides staff in holistic care for Māori residents, though there were none at the time of audit. Guidance on tikanga best practice is available and is supported by staff who identify as Māori in the facility. Residents and their whānau interviewed reported that staff acknowledge and respect their individual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such as meal preferences, times for going to bed and getting up, and what activities they wished to attend.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is signed when an employment offer is accepted.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wound care specialist, speech language therapist, and education of staff. The nurse practitioner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Evidence based tools sighted in use included:</w:t>
            </w:r>
          </w:p>
          <w:p w:rsidR="00EB7645" w:rsidRPr="00BE00C7" w:rsidP="00BE00C7">
            <w:pPr>
              <w:pStyle w:val="OutcomeDescription"/>
              <w:spacing w:before="120" w:after="120"/>
              <w:rPr>
                <w:rFonts w:cs="Arial"/>
                <w:b w:val="0"/>
                <w:lang w:eastAsia="en-NZ"/>
              </w:rPr>
            </w:pPr>
            <w:r w:rsidRPr="00BE00C7">
              <w:rPr>
                <w:rFonts w:cs="Arial"/>
                <w:b w:val="0"/>
                <w:lang w:eastAsia="en-NZ"/>
              </w:rPr>
              <w:t>- The ‘identify, situation, background, assessment and responsibility’ (ISBAR) communication tool with external professionals.</w:t>
            </w:r>
          </w:p>
          <w:p w:rsidR="00EB7645" w:rsidRPr="00BE00C7" w:rsidP="00BE00C7">
            <w:pPr>
              <w:pStyle w:val="OutcomeDescription"/>
              <w:spacing w:before="120" w:after="120"/>
              <w:rPr>
                <w:rFonts w:cs="Arial"/>
                <w:b w:val="0"/>
                <w:lang w:eastAsia="en-NZ"/>
              </w:rPr>
            </w:pPr>
            <w:r w:rsidRPr="00BE00C7">
              <w:rPr>
                <w:rFonts w:cs="Arial"/>
                <w:b w:val="0"/>
                <w:lang w:eastAsia="en-NZ"/>
              </w:rPr>
              <w:t>- The ‘stop and watch’ early warning tool.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Areas of good practice included the work on staff rostering to client needs (See criterion 1.2.8.1), my medication (See criterion 1.3.12.1.) and work on improving the kitchen operations.  The kitchen reviewed its ordering of food products, planning and serving of meals with input from national and regional food managers.  This saw weight gain of some residents and improvement in resident’s satisfaction with Oceania as a provider. The project was Oceania’s nominee at the New Zealand Aged Care Association’s annual awards in the food category.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include the investment in staff health, for example, a programme where if staff have pain they can be assessed by a physiotherapist and receive three free sessions of treatment.  Staff report a good ‘open door’ philosophy of the management team with the changes that have occurred. The management daily brief ‘stand-up’ meeting to catch up, identify the challenges for the day and exchange information was reported to be very effective.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Oceania holds regular study days for registered nurses (RNs) at a regional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had not been required as all residents were able to speak English. Younger residents were able to express themselves without difficulty.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 processes were reviewed in 2021, this included the purpose, values, scope, direction and goals of the organisation. The documents described annual and longer term objectives and the associated operational plans.  Planning for younger people with disabilities is included in these strategies and reflected a person/family centred approach.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meetings with the regional managers (clinical and business) and BCM and clinical managers. From these meetings the regional managers reports to national office. Clinical indicators are electronic and available to regional and national managers. There is sufficient information to monitor performance being reported to national office, this includes, progress on the site redevelopment, financial performance, emerging risks and issues. Dashboards are developed for review and benchmarking with other facilities. Oceania also benchmark with similar national multisite aged care organisations.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BCM who holds relevant qualifications and business experience and has been in the role for three years. Responsibilities and accountabilities are defined in a job description and individual employment agreement. Oceania has a delegations policy. The BCM confirmed knowledge of the sector, regulatory and reporting requirements and maintains currency through Oceania meetings, the Aged Care Association briefs, and meetings with the local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long term hospital level care (14 residents), rest home level care (16 residents) and respite care. A Ministry of Health contract for younger persons with disability ((YPD) (two residents), one of whom is over 65 years of age.  One is receiving hospital level care and the other rest home level care. There are twelve care suites/occupational rights agreements (ORA) with ten rest home level care and two hospital level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BCM is absent, the clinical manager (CM) carries out all the required duties under delegated authority. During absences of key clinical staff, the clinical management would be overseen by the clinical manager from another Oceania facility. The facility is grooming a senior RN to be able to take on the senior clinical responsibilities. Staff reported the current management is working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the management of incidents and complaints, audit activities, a regular patient satisfaction survey, monitoring of outcomes including clinical indicators, clinical incidents including infections and pressure injuries and staff incidents. A monthly quality audit schedule sighted, which details the percentage reached by each audit. When areas do not reach a threshold, reauditing occurs more frequently than scheduled. Younger people with disabilities (YPD) are encouraged to attend the monthly residents’ meetings and complete the satisfaction surveys.  Audits related to fluid balance charts as per requested by the HDC recommendations occurred. Ongoing any resident with an in-dwelling catheter is monitored by having a fluid balance chart started and this becomes part of the worklog for monitoring on a shift by shift basis. They can have input to quality improvements and one recently completed a complaints form. One YPD resident spoken with stated they felt they are included in decisions around personal technology, aids and equipment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Oceania risk management process which including health and safety risks. A facility health and safety risk register was sighted and showed risks being identified through meetings, rated, mitigation strategies in place and review of risks ongoing at the health and safety meetings.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related information is reported and discussed at the registered nurse, infection control, staff meetings, health and safety and quality improvement meetings. The management team meet each day for a verbal catch up on relevant issues and what is happening that day. Relevant corrective actions are developed, implemented and closed to address any shortfalls. Continual clinical improvement initiatives are identified using the ‘plan, do, check and act’ (PDCA) cycle to implement changes. Examples sighted included the Improvement of Care Outcomes at Redwood – Staff Wellness (See CI 1.2.8.1) and one related to medicine management (See CI 1.3.12.1).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the site redevelopment, and the continual clinical improvement projects as well as by attending meetings and being aware of changes to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wide policies and procedures are used at Redwood, with no local policies being used. These cover all necessary aspects of the service and contractual requirements, including reference to the interRAI Long Term Care Facility (LTCF) assessment tool and process with relevant NASC requirements for younger people.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equipment adverse and near miss events are recorded on an accident/incident form. A sample of incidents forms reviewed showed these were fully completed, incidents were investigated, action plans developed and actions followed-up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Patient incidents are recorded onto the electronic patient management system which translates to the clinical indicator programme. These records are available to regional and national office staff and allows for analysis, trending and benchmarking with other facilities. Dashboards are available to all management. Pressure injury monitoring is in place, including for residents with restraints. There were no pressure injuries reported in 2021 or to date 2022. </w:t>
            </w:r>
          </w:p>
          <w:p w:rsidR="00EB7645" w:rsidRPr="00BE00C7" w:rsidP="00BE00C7">
            <w:pPr>
              <w:pStyle w:val="OutcomeDescription"/>
              <w:spacing w:before="120" w:after="120"/>
              <w:rPr>
                <w:rFonts w:cs="Arial"/>
                <w:b w:val="0"/>
                <w:lang w:eastAsia="en-NZ"/>
              </w:rPr>
            </w:pPr>
            <w:r w:rsidRPr="00BE00C7">
              <w:rPr>
                <w:rFonts w:cs="Arial"/>
                <w:b w:val="0"/>
                <w:lang w:eastAsia="en-NZ"/>
              </w:rPr>
              <w:t>The BCM described essential notification reporting requirements, including for pressure injuries, which RNs are made aware of. They advised there have been no notifications of significant events made to the Ministry of Health, DHB and no HDC complaints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validation of qualifications, the legal right to work in New Zealand, and practising certificates (APCs), where required. A sample of staff records reviewed (nine - the clinical manager, two RNs, cleaner, kitchen, chef, three health care assistants) confirmed the organisation’s policies are being consistently implemented and records are maintained. All health professionals (nursing, general practitioners, podiatrist, dietitian, pharmacists) had a current APC.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managers and RN job descriptions was reviewed as part of the review of recommendations from the 2018 HDC complaint. These detail the responsibilities of care clinical managers being: to ensure the provision of a high level of quality delivery and provide clinical leadership to clinical and care staff, ensuring Oceania Healthcare policies and procedures, contracted and audit requirements are maintained. The RN’s responsibilities are to provide safe professional clinical care to Oceania Healthcare residents and a key responsibility is to ensure person centred care plans are kept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an employee resource pack and orientation manual which includes all necessary components relevant to the role. Staff reported that the orientation process, including having a buddy, prepared them well for their role. Staff records reviewed showed documentation of completed orientation and a performance review after a year.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includes any issues identified the previous year, mandatory training requirements for all staff based on their role and their contractual requirements.  Annual study days (‘GEM’) are held to cover these areas. An electronic training record is kept for each staff member, and this alerts the clinical manager when a staff member is due for re-training on mandatory training areas, such as first aid certificates. Care staff can also undertake medication competencies to assist RNs with medication rounds.  Care staff have either completed or commenced a New Zealand Qualification Authority (NZQA) education programme to meet the requirements of the provider’s agreement with the DHB. All staff, with the exception of the kitchen staff, undertake first aid training. Healthcare assistants (HCA) are registered or commence New Zealand Qualification training within (NZQA) the first months of employment. The training levels identified for the HCAs were:</w:t>
            </w:r>
          </w:p>
          <w:p w:rsidR="00EB7645" w:rsidRPr="00BE00C7" w:rsidP="00BE00C7">
            <w:pPr>
              <w:pStyle w:val="OutcomeDescription"/>
              <w:spacing w:before="120" w:after="120"/>
              <w:rPr>
                <w:rFonts w:cs="Arial"/>
                <w:b w:val="0"/>
                <w:lang w:eastAsia="en-NZ"/>
              </w:rPr>
            </w:pPr>
            <w:r w:rsidRPr="00BE00C7">
              <w:rPr>
                <w:rFonts w:cs="Arial"/>
                <w:b w:val="0"/>
                <w:lang w:eastAsia="en-NZ"/>
              </w:rPr>
              <w:t>Level 2 – 4</w:t>
            </w:r>
          </w:p>
          <w:p w:rsidR="00EB7645" w:rsidRPr="00BE00C7" w:rsidP="00BE00C7">
            <w:pPr>
              <w:pStyle w:val="OutcomeDescription"/>
              <w:spacing w:before="120" w:after="120"/>
              <w:rPr>
                <w:rFonts w:cs="Arial"/>
                <w:b w:val="0"/>
                <w:lang w:eastAsia="en-NZ"/>
              </w:rPr>
            </w:pPr>
            <w:r w:rsidRPr="00BE00C7">
              <w:rPr>
                <w:rFonts w:cs="Arial"/>
                <w:b w:val="0"/>
                <w:lang w:eastAsia="en-NZ"/>
              </w:rPr>
              <w:t>Level 3 – 6</w:t>
            </w:r>
          </w:p>
          <w:p w:rsidR="00EB7645" w:rsidRPr="00BE00C7" w:rsidP="00BE00C7">
            <w:pPr>
              <w:pStyle w:val="OutcomeDescription"/>
              <w:spacing w:before="120" w:after="120"/>
              <w:rPr>
                <w:rFonts w:cs="Arial"/>
                <w:b w:val="0"/>
                <w:lang w:eastAsia="en-NZ"/>
              </w:rPr>
            </w:pPr>
            <w:r w:rsidRPr="00BE00C7">
              <w:rPr>
                <w:rFonts w:cs="Arial"/>
                <w:b w:val="0"/>
                <w:lang w:eastAsia="en-NZ"/>
              </w:rPr>
              <w:t>Level 4a – 1</w:t>
            </w:r>
          </w:p>
          <w:p w:rsidR="00EB7645" w:rsidRPr="00BE00C7" w:rsidP="00BE00C7">
            <w:pPr>
              <w:pStyle w:val="OutcomeDescription"/>
              <w:spacing w:before="120" w:after="120"/>
              <w:rPr>
                <w:rFonts w:cs="Arial"/>
                <w:b w:val="0"/>
                <w:lang w:eastAsia="en-NZ"/>
              </w:rPr>
            </w:pPr>
            <w:r w:rsidRPr="00BE00C7">
              <w:rPr>
                <w:rFonts w:cs="Arial"/>
                <w:b w:val="0"/>
                <w:lang w:eastAsia="en-NZ"/>
              </w:rPr>
              <w:t>Level 4b – 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member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registered nurses are trained, competent and maintaining their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as per the HDC recommendation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Oceania documented and implemented process for determining staffing levels and skill mixes to provide safe service delivery, 24 hours a day, seven days a week (24/7). Redwood have undertaken a continual clinical improvement initiative with the outcome being to improve efficacy of staffing and quality of care utilising a resident acuity mix planner as well as ensuring staff wellness. A continual improvement rating has been awarded for this initiative. This initiative improves the process for adjusting staffing levels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rosters is covered by the BCM and clinical manager. At weekends there is also an on-call roster covered by senior RNs. Staff reported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were adequate staff available to complete the work allocated to them. Residents and family interviewed supported this. Observations and review of a four-week roster cycle confirmed adequate staff cover has been provided, with the clinical manager working on the floor on three duties and the guest services manager, who is a trained health care assistance (HCA) also working on the floor on one occasion. Most short notice duty disruptions had been replaced by RNs and HCAs. There is 24/7 RN coverage in the hospital. There is a full complement of RNs. There were two HCAs and a cook vacancy at the time of audit, which were being advertised.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This includes interRAI assessment information entered into the Momentum electronic database. Redwood uses an electronic system with each staff member having a unique password to maintain privacy and only have access to information pertinent to their scope of practice. Clinical notes were current and integrated with GP and allied health service provider notes either scanned in or through a personal log in.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admission, prospective residents and family visit the facility and are provided with an admission information pack and discuss requirements of entry, such as having enduring power of attorney documentation in place. The regional clinical manager signs off on people purchasing the care suites while the BCM and CM discuss routine admissions to ensure residents’ needs can be met safely. Residents enter the service when their required level of care has been assessed and confirmed by the local Needs Assessment and Service Coordination (NASC) Service. Relevant NASC assessments and authorisations for younger people with disabilities are complete. Residents purchasing a care suite (ORA) are not required to have a NASC assessment completed but it is recommended. The organisation seeks updated information from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A meeting is held with family members three weeks after admission to answer any questions and to sign the care plans and then every six months.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prints off a transfer document from the electronic system and uses the DHB’s ‘yellow envelope’ system to facilitate transfer of residents to and from acute care services. There is open communication between all services, the resident and the family/whānau. A resident confirmed that their family were provided with regular updates when they were admitted to hospital recently.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referrals are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 and education has been provided for staff.</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is self-administering medications at the time of audit. Appropriate processes were in place to ensure this was managed in a safe manner. The resident interviewed was competent and safe storage was provided for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In the year 2020, eighteen medication errors were reported. The problems were addressed in a continuous improvement project resulting in a thirty five percent reduction in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 menu follows summer and winter patterns and has been reviewed by a qualified dietitian within the last two years (31 March for winter menu and 6 October for summer menu). There were no recommendations made at this time.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current until March 2022.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There is fruit provided for residents at any time. Special equipment, to meet residents’ nutritional needs, is available.  Residents with indwelling catheters have a fluid balance chart in use. </w:t>
            </w:r>
          </w:p>
          <w:p w:rsidR="00EB7645" w:rsidRPr="00BE00C7" w:rsidP="00BE00C7">
            <w:pPr>
              <w:pStyle w:val="OutcomeDescription"/>
              <w:spacing w:before="120" w:after="120"/>
              <w:rPr>
                <w:rFonts w:cs="Arial"/>
                <w:b w:val="0"/>
                <w:lang w:eastAsia="en-NZ"/>
              </w:rPr>
            </w:pPr>
            <w:r w:rsidRPr="00BE00C7">
              <w:rPr>
                <w:rFonts w:cs="Arial"/>
                <w:b w:val="0"/>
                <w:lang w:eastAsia="en-NZ"/>
              </w:rPr>
              <w:t>A resident satisfaction survey in 2021 revealed a level of dissatisfaction with the food. Training was provided and an improvement made to presentation of meals resulting in a positive dining experience. Residents and family interviewed verified an improvement in the dining experience (refer standard 1.1.8).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This is guided by a preadmission risk assessment.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assessment,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Plans for the YPD included meeting both community and educational needs as identified in NASC assessments, with one studying a foreign language and attending community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NP interviewed, verified that medical input is sought in a timely manner, that medical orders are followed, and care is consistently high. Care staff confirmed that care was provided as outlined in the documentation. A range of equipment and resources was available, suited to the levels of care provided and in accordance with the residents’ needs. The YPD residents each had equipment to meet their specific needs.</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are used for resident behaviour, turning charts, food and fluid intake for residents losing weight and all residents who have indwelling catheters have fluid balance charts in place. Residents with wounds have photos taken to record improvement alongside evaluation at each dressing change. Swabs are sent to the laboratory if infection is suspected.</w:t>
            </w:r>
          </w:p>
          <w:p w:rsidR="00EB7645" w:rsidRPr="00BE00C7" w:rsidP="00BE00C7">
            <w:pPr>
              <w:pStyle w:val="OutcomeDescription"/>
              <w:spacing w:before="120" w:after="120"/>
              <w:rPr>
                <w:rFonts w:cs="Arial"/>
                <w:b w:val="0"/>
                <w:lang w:eastAsia="en-NZ"/>
              </w:rPr>
            </w:pPr>
            <w:r w:rsidRPr="00BE00C7">
              <w:rPr>
                <w:rFonts w:cs="Arial"/>
                <w:b w:val="0"/>
                <w:lang w:eastAsia="en-NZ"/>
              </w:rPr>
              <w:t>Care staff can read care plans and access a summary care plan that gives a detailed overview of residents’ needs and abilities, to ensure consistent care. A health care assistant confirmed they read the care plans and a verbal handover each shift guides any urgent changes to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is working on completing the diversional therapy training. Activities are provided Monday to Friday while activities, movies and family visits are arranged for the weekend.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in response to engagement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and satisfaction surveys. A 2021 satisfaction survey showed some dissatisfaction with the programme. Time has been spent talking to the residents to ascertain their requirements and areas of interest. Managers are supporting the activities coordinator to improve the quality of the programme. Residents and family members interviewed confirmed they find the programme has some interesting activities and has been changing.</w:t>
            </w:r>
          </w:p>
          <w:p w:rsidR="00EB7645" w:rsidRPr="00BE00C7" w:rsidP="00BE00C7">
            <w:pPr>
              <w:pStyle w:val="OutcomeDescription"/>
              <w:spacing w:before="120" w:after="120"/>
              <w:rPr>
                <w:rFonts w:cs="Arial"/>
                <w:b w:val="0"/>
                <w:lang w:eastAsia="en-NZ"/>
              </w:rPr>
            </w:pPr>
            <w:r w:rsidRPr="00BE00C7">
              <w:rPr>
                <w:rFonts w:cs="Arial"/>
                <w:b w:val="0"/>
                <w:lang w:eastAsia="en-NZ"/>
              </w:rPr>
              <w:t>Activities and social opportunities, both in the facility and in the community are made available for the YPD residents but they often choose to not attend saying they prefer to arrange their own social events. There is a specific activity on the calendar each week that relates to the under 65 year old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via a ‘stop and watch’ tool which the RN follows up before the completion of their shift.</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a short term care plan to evaluate the concern, before making changes to the long term care plan. Examples of short-term care plans being consistently reviewed, and progress evaluated as clinically indicated were noted for infections and wounds. Evaluation of pro re nata medication is entered into the medication system. When necessary, and for unresolved problems, LTCPs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The service does not have a ‘house doctor’, instead residents continue to deal with their own GP. This results in communication with thirty two GPs supported by a NP. If the need for other non-urgent services are indicated or requested, the GP, NP or RN sends a referral to seek specialist input. Copies of referrals were sighted in residents’ files, including use of the ISBAR tool, to a speech language therapist and cardiac specialist. The resident and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No large volumes of chemicals are kept on site. An external company removes waste from the site twice a week or more regularly if required. The area used for the external storage of waste will move as part of phase one of the site development. The area designated for this was sighted and comment was made about it being close to the building and the need to ensure it is secured. A contracted chemical company supplies and manage all chemicals and cleaning products and they also provide relevant training for staff.  Material safety data sheets were available where chemicals are stored, and staff interviewed knew what to do should any chemical spill/event occur. Spill kits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staff were observed using these. There is sufficient personnel protective equipment, signage available in the event of any infectious outbreak and management by staff at the different Ministry COVID-19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July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refurbishment project is going on around the present resident areas. Areas being worked on are blocked off to residents, internally and externally - this is being well managed. The planned completion of stage one (February 11 2022), will see five care suites for ORA occupancy available, increasing the bed numbers to 35. Some rooms are further advanced than others. Carpets and vinyl were still be put down in some of the rooms and electrical fittings were still to be put up and water connected to all the rooms. The new corridors have secured handrails. Residents spoken with raised no concerns related to this work and many enjoyed watching the external build.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seal on the roadway at the entrance to the facility is now stones and this makes it difficult for residents to go out in their wheelchairs, electric and manual. There is another entrance which can be used, and management are aware of the issue and taking steps to ensure exit is managed safely and continue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testing and tagging of electrical equipment and calibration of bio medical equipment was current as confirmed in documentation reviewed, interviews with maintenance personnel and observation of the environment. The environment was hazard free within the facility. The building has a few different levels with slopes between the different levels, which residents manage. Safety was promoted, with signage related to these slopes. Personalised equipment is available for the younger residents with disabilities to meet all their mobility and equipment needs.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reduced presently, but there is sufficient space for residents to sit outside safely. These are maintained and were appropriate to the resident groups and setting. Younger people with disabilities can access all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Each room has a wash-hand basin and all have an ensuite toilet and shower, including the five refurbished rooms. There are toilets available for staff and visitors presently and a new staff area will provide staff toilet and a shower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including the refurbished care suites. One room presently has a ceiling hoist and four of the refurbished care suites will also have these installed. These plus other equipment, such as wheelchairs and walkers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Some have the ability to be double, but none were being used as double during the audit. The site manager stated the new rooms were 33 square meters. No furniture was in these rooms to review the layout to allow movement. Present rooms are personalised with furnishings, photos and other personal items displayed. There is room to store mobility aids, wheelchairs and mobility scooters. One YPD resident keeps her aids, such as mobility scooter, in their room, the other had a wheelchair in their room and mobility scooter was being stored in an outside garage area.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Stage one completion will close the present dining/lounge area and two new dinning/lounge areas will be created. The new dining and lounge areas are of different sizes. No furniture was in these rooms. Management of numbers will need to be explored to enable easy access for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access areas for privacy, if required. Furniture is appropriate to the setting and residents’ needs. New furniture will be used in the new care suites. Younger people with disabilities are catered for with use of internal and external areas. There is consideration of their compatibility with other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off site by an Oceania laundry facility in Nelson which is audited for compliance to the laundry standards. Rooms at Redwood are dedicated to the picking up of dirty laundry and a separate clean area for receiving the returned clean laundry, which is then distributed around the facility. New areas for these functions will be ready when stage one is completed (11 February 2022). Care staff are aware of the need for PPE when dealing with the removal of the dirty linen to the approved areas.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These staff undertake the New Zealand Qualifications Authority Certificate in Cleaning (Level 2), as confirmed in interview of cleaning staff and training records. Chemicals were stored in lockable areas and were in appropriately labelled containers. Cleaning audits occur six monthly and corrective actions were sighted as being undertaken in relation to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have a comprehensive emergency management plan. There are also policies, guidelines, flip charts and grab bags for emergency planning, preparation and response. These were displayed and known to staff. Disaster, civil defence planning and COVID-19 guides direct the facility in their preparation for disasters and described the procedures to be followed in the event of these emergency. These consider the special needs of younger people with disabilities.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site refurbishment has included changes to the fire evacuation plan, with the last plan being developed in October 2021, which is known to the New Zealand Fire Service. The plan will require to be redone again when phase one is completed (11 February 2022) and the BCM stated, this is being worked on presently. A trial evacuation takes place six-monthly with a copy sent to the New Zealand Fire Service, the most recent being in September 2021. The need to re-orientate staff to the new fire exits and evacuation plan is to occur after completion of phase one.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National Emergency Management Agency recommendations for the region. Water is stored in bottles around the complex.  In the event of power being damaged the local electricity provider will be contacted for assistance, there is emergency lighting from a bank of batteries and torches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The system alerts management if the call bell is not answered in a timely manner. Each new room and ensuite has a call bell installed but not yet connected to the system. The organisation is taking the opportunity to upgrade the call management system as part of the site redevelopment.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doors that open onto the garden, as will the refurbished care suites. Resident’s rooms and communal areas have heating provided by wall mounted air conditioning units and some have underfloor heating. All refurbished rooms will have wall mounted air-conditioning units installed. </w:t>
            </w:r>
          </w:p>
          <w:p w:rsidR="00EB7645" w:rsidRPr="00BE00C7" w:rsidP="00BE00C7">
            <w:pPr>
              <w:pStyle w:val="OutcomeDescription"/>
              <w:spacing w:before="120" w:after="120"/>
              <w:rPr>
                <w:rFonts w:cs="Arial"/>
                <w:b w:val="0"/>
                <w:lang w:eastAsia="en-NZ"/>
              </w:rPr>
            </w:pPr>
            <w:r w:rsidRPr="00BE00C7">
              <w:rPr>
                <w:rFonts w:cs="Arial"/>
                <w:b w:val="0"/>
                <w:lang w:eastAsia="en-NZ"/>
              </w:rPr>
              <w:t>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minimises the risk of infection to residents, staff and visitors. The programme is guided by a comprehensive and current infection control manual, with input from the organisation’s support office. The infection control programme and manual are reviewed annually (11 August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infection control (IC) nurse, whose role and responsibilities are defined in a job description. Infection control matters, including surveillance results, are reported monthly to the business care manager (BCM) and tabled at the quality/risk committee meeting. This committee includes the BCM, IC nurse, a RN, representatives from kitchen, housekeeping, the health and safety officer, and representatives from food services and maintenance.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QR code is available for scanning, and a health declaration form, masks and sanitiser were at the main entrance to the facility. Family members are required to make a booking to visit relatives and are required to produce a vaccine certificate under the Ministry COVID-19, red traffic light system. The infection control manual provides guidance for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The refurbishment of the facility has been managed by national office. The regional manager confirmed there is clinical input provided via a development committee that meets monthly. Oceania Healthcare have an infection control specialist on staff and this person is consulted regularly regarding all aspect of service delivery and property development. The property development manager confirmed that all Oceania developments have air conditioning and positive pressure in corridors and common areas and the residents’ rooms have negative pressure. Contractors on site for the refurbishment were observed meeting infection control protocols.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has appropriate skills, knowledge and qualifications for the role, and has been in this role for over three years. They have undertaken an online training course in infection prevention and control and attended relevant study days, as verified in training records sighted. Additional support and information are accessed from the infection control team at the DHB, the community laboratory, the GP and public health unit and the organisation’s support office.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March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ongoing education sessions.  Education is provided by the IC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  An example of this occurred when there was an outbreak of respiratory illness.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and has included reminders about handwashing, advice about remaining in their room if they are unwell and cough etiquette.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the upper and lower respiratory tract. The IC coordinator reviews all reported infections and these are documented. New infections and any required management plan are discussed at handover, to ensure earl 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quality meeting and national support office. Data is benchmarked within the group and against the aged care sector.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respiratory outbreak was reviewed and demonstrated a thorough process for investigation and follow up. Learnings from the event have now been incorporated into practice, with additional staff education implemented. Another episode of a notifiable disease was handled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restraint minimisation and safe practice policies and procedures meet the requirements of the restraint minimisation and safe practice standards and provide guidance on the safe use of both restraints and enablers. This was reviewed as a result of the HDC recommendations to include the need for ongoing monitoring of pressure injuries when restraint in use. The clinical manager is the restraint coordinator and provides support and oversight for enabler and restraint management in the facility. They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had a goal of being restraint free by 2021. On the day of audit, one resident was using restraints and two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register, quality group minutes, files reviewed, and from interviews with staff and the two residents with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policy details the approved restraints and enablers to be used and the restraint processes. The quality meeting reviews the use of restraints. There is clear accountability in the initiation of restraint use and detailed in the restraint register and in the quality meetings. All restraints used were those approved in the policy. Overall use of restraints is being monitored and analysed at a regional and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EPOA involvement in the decision making was sighted on file of the one resident with the use of restraints.  </w:t>
            </w:r>
          </w:p>
          <w:p w:rsidR="00EB7645" w:rsidRPr="00BE00C7" w:rsidP="00BE00C7">
            <w:pPr>
              <w:pStyle w:val="OutcomeDescription"/>
              <w:spacing w:before="120" w:after="120"/>
              <w:rPr>
                <w:rFonts w:cs="Arial"/>
                <w:b w:val="0"/>
                <w:lang w:eastAsia="en-NZ"/>
              </w:rPr>
            </w:pPr>
            <w:r w:rsidRPr="00BE00C7">
              <w:rPr>
                <w:rFonts w:cs="Arial"/>
                <w:b w:val="0"/>
                <w:lang w:eastAsia="en-NZ"/>
              </w:rPr>
              <w:t>The use of a restraint or an enabler was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A RN/clinical manager undertakes the initial assessment with the clinical manager’s involvement (as restraint coordinator), and input from the resident’s EPOA. The clinical manager described the documentation process. The general practitioner is involved in the final decision on the safety of the use of the restraint. The assessment process identified the underlying cause, cultural considerations, alternatives and associated risks. The desired outcome was to ensure the resident’s safety and security. Completed assessments were sighted in the records of resident who was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clinical manager described how alternatives to restraints are discussed with staff and the EPOA, for example the use of sensor mats or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two hourly monitoring occurs to ensure the resident remains safe, this includes pressure injuries and the policy notes this may be required more frequently for some residents. The electronic patient record lists/worklog records the time the restraint is put on and removed.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and reviewed every month. The register was reviewed and contained the residents currently using a restraint and enough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on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resident’s file showed that the individual use of restraint is reviewed and evaluated during the three monthly care plan and interRAI reviews. There was evidence of the EPOA, being part of this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national quality support manager and the facility clinical manager (in role of restraint coordinator), meet or ‘ZOOM’ regularly to review the organisation’s overall restraint use. They review the restraints used and any areas of concern. The monthly clinical indicators included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meeting reviews the facility restraint and enabler use at each meeting. Minutes of meetings reviewed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showed the facility meets the requirements of the standard and the organisation’s policy as per the recommendation of the HDC following the 2018 complaint.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4"/>
        <w:gridCol w:w="1280"/>
        <w:gridCol w:w="5969"/>
        <w:gridCol w:w="48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April 2021 the impact of the Redwood site redevelopment would see a reduction in resident numbers. Management undertook a project, the objectives of which were to streamline the clinical roster, optimise care delivery, provide fair allocations based on resident acuity mix, improve clinical indicators and deliver a positive impact to the wellbeing of clinical staff, as well as reduce financial liabilities for overtime, sick leave and annual leave. A ‘plan, do, check, act’ (PDSA) methodology documented showed the detail planning and implementation of this project.  </w:t>
            </w:r>
          </w:p>
          <w:p w:rsidR="00EB7645" w:rsidRPr="00BE00C7" w:rsidP="00BE00C7">
            <w:pPr>
              <w:pStyle w:val="OutcomeDescription"/>
              <w:spacing w:before="120" w:after="120"/>
              <w:rPr>
                <w:rFonts w:cs="Arial"/>
                <w:b w:val="0"/>
                <w:lang w:eastAsia="en-NZ"/>
              </w:rPr>
            </w:pPr>
            <w:r w:rsidRPr="00BE00C7">
              <w:rPr>
                <w:rFonts w:cs="Arial"/>
                <w:b w:val="0"/>
                <w:lang w:eastAsia="en-NZ"/>
              </w:rPr>
              <w:t>Measurements of the outcome of the project (measured from September 2021 to January 2022) results showed:</w:t>
            </w:r>
          </w:p>
          <w:p w:rsidR="00EB7645" w:rsidRPr="00BE00C7" w:rsidP="00BE00C7">
            <w:pPr>
              <w:pStyle w:val="OutcomeDescription"/>
              <w:spacing w:before="120" w:after="120"/>
              <w:rPr>
                <w:rFonts w:cs="Arial"/>
                <w:b w:val="0"/>
                <w:lang w:eastAsia="en-NZ"/>
              </w:rPr>
            </w:pPr>
            <w:r w:rsidRPr="00BE00C7">
              <w:rPr>
                <w:rFonts w:cs="Arial"/>
                <w:b w:val="0"/>
                <w:lang w:eastAsia="en-NZ"/>
              </w:rPr>
              <w:t>Care Outcomes:</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Efficiency on the floor – cares are completed earlier in the mornings and increase of approximately 75 percent attendance at morning tea. </w:t>
            </w:r>
          </w:p>
          <w:p w:rsidR="00EB7645" w:rsidRPr="00BE00C7" w:rsidP="00BE00C7">
            <w:pPr>
              <w:pStyle w:val="OutcomeDescription"/>
              <w:spacing w:before="120" w:after="120"/>
              <w:rPr>
                <w:rFonts w:cs="Arial"/>
                <w:b w:val="0"/>
                <w:lang w:eastAsia="en-NZ"/>
              </w:rPr>
            </w:pPr>
            <w:r w:rsidRPr="00BE00C7">
              <w:rPr>
                <w:rFonts w:cs="Arial"/>
                <w:b w:val="0"/>
                <w:lang w:eastAsia="en-NZ"/>
              </w:rPr>
              <w:t>•</w:t>
              <w:tab/>
              <w:t>Improved clinical indicators seeing a reduction in clinical incidents overall. The facility dashboard shows a reduction in falls and wounds (September - 10 falls (five in hospital and rest home) and in December six falls (two in hospital and four in rest home). For wounds - September 36 and in December 18.</w:t>
            </w:r>
          </w:p>
          <w:p w:rsidR="00EB7645" w:rsidRPr="00BE00C7" w:rsidP="00BE00C7">
            <w:pPr>
              <w:pStyle w:val="OutcomeDescription"/>
              <w:spacing w:before="120" w:after="120"/>
              <w:rPr>
                <w:rFonts w:cs="Arial"/>
                <w:b w:val="0"/>
                <w:lang w:eastAsia="en-NZ"/>
              </w:rPr>
            </w:pPr>
            <w:r w:rsidRPr="00BE00C7">
              <w:rPr>
                <w:rFonts w:cs="Arial"/>
                <w:b w:val="0"/>
                <w:lang w:eastAsia="en-NZ"/>
              </w:rPr>
              <w:t>•</w:t>
              <w:tab/>
              <w:t>Well embedded process for the review of resident acuity and staff skill mix and allocations.</w:t>
            </w:r>
          </w:p>
          <w:p w:rsidR="00EB7645" w:rsidRPr="00BE00C7" w:rsidP="00BE00C7">
            <w:pPr>
              <w:pStyle w:val="OutcomeDescription"/>
              <w:spacing w:before="120" w:after="120"/>
              <w:rPr>
                <w:rFonts w:cs="Arial"/>
                <w:b w:val="0"/>
                <w:lang w:eastAsia="en-NZ"/>
              </w:rPr>
            </w:pPr>
            <w:r w:rsidRPr="00BE00C7">
              <w:rPr>
                <w:rFonts w:cs="Arial"/>
                <w:b w:val="0"/>
                <w:lang w:eastAsia="en-NZ"/>
              </w:rPr>
              <w:t>•</w:t>
              <w:tab/>
              <w:t>The tools developed to measure HCA competencies and resident acuity against allocations are now used by other Oceania Care Homes including when reviewing rosters.</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The medication competency HCA position is part of the ongoing rosters providing better support for RNs during medication rounds (second checker) and in management of the duty. This was reported to be working well.  </w:t>
            </w:r>
          </w:p>
          <w:p w:rsidR="00EB7645" w:rsidRPr="00BE00C7" w:rsidP="00BE00C7">
            <w:pPr>
              <w:pStyle w:val="OutcomeDescription"/>
              <w:spacing w:before="120" w:after="120"/>
              <w:rPr>
                <w:rFonts w:cs="Arial"/>
                <w:b w:val="0"/>
                <w:lang w:eastAsia="en-NZ"/>
              </w:rPr>
            </w:pPr>
            <w:r w:rsidRPr="00BE00C7">
              <w:rPr>
                <w:rFonts w:cs="Arial"/>
                <w:b w:val="0"/>
                <w:lang w:eastAsia="en-NZ"/>
              </w:rPr>
              <w:t>•</w:t>
              <w:tab/>
              <w:t>Moving the morning and afternoon tea rounds into the duties of the kitchen assistants, providing more time for HCAs to provide cares.</w:t>
            </w:r>
          </w:p>
          <w:p w:rsidR="00EB7645" w:rsidRPr="00BE00C7" w:rsidP="00BE00C7">
            <w:pPr>
              <w:pStyle w:val="OutcomeDescription"/>
              <w:spacing w:before="120" w:after="120"/>
              <w:rPr>
                <w:rFonts w:cs="Arial"/>
                <w:b w:val="0"/>
                <w:lang w:eastAsia="en-NZ"/>
              </w:rPr>
            </w:pPr>
            <w:r w:rsidRPr="00BE00C7">
              <w:rPr>
                <w:rFonts w:cs="Arial"/>
                <w:b w:val="0"/>
                <w:lang w:eastAsia="en-NZ"/>
              </w:rPr>
              <w:t>Staff Wellness</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All staff have been moved to a ‘4 on 4 off’ roster to enable better teamwork and rest.  </w:t>
            </w:r>
          </w:p>
          <w:p w:rsidR="00EB7645" w:rsidRPr="00BE00C7" w:rsidP="00BE00C7">
            <w:pPr>
              <w:pStyle w:val="OutcomeDescription"/>
              <w:spacing w:before="120" w:after="120"/>
              <w:rPr>
                <w:rFonts w:cs="Arial"/>
                <w:b w:val="0"/>
                <w:lang w:eastAsia="en-NZ"/>
              </w:rPr>
            </w:pPr>
            <w:r w:rsidRPr="00BE00C7">
              <w:rPr>
                <w:rFonts w:cs="Arial"/>
                <w:b w:val="0"/>
                <w:lang w:eastAsia="en-NZ"/>
              </w:rPr>
              <w:t>•</w:t>
              <w:tab/>
              <w:t>A leave planning methodology is in place for all staff, evidenced by a reduction in high leave balances and leave liability costs as a metric for staff wellness. (Reduction in leave liability by 1792 hours over seven months. July 2021 - 8050 hours, January 2022 - 6,258 hours). A potential saving of $44,800.00 over the period.</w:t>
            </w:r>
          </w:p>
          <w:p w:rsidR="00EB7645" w:rsidRPr="00BE00C7" w:rsidP="00BE00C7">
            <w:pPr>
              <w:pStyle w:val="OutcomeDescription"/>
              <w:spacing w:before="120" w:after="120"/>
              <w:rPr>
                <w:rFonts w:cs="Arial"/>
                <w:b w:val="0"/>
                <w:lang w:eastAsia="en-NZ"/>
              </w:rPr>
            </w:pPr>
            <w:r w:rsidRPr="00BE00C7">
              <w:rPr>
                <w:rFonts w:cs="Arial"/>
                <w:b w:val="0"/>
                <w:lang w:eastAsia="en-NZ"/>
              </w:rPr>
              <w:t>•</w:t>
              <w:tab/>
              <w:t>Sick leave as a percentage of gross wage has reduced from an average of around 2.8% over 2020 to 1.8% in January 2022, with Redwood – this shifted Redwood from the ‘red’ to the ‘green’ category benchmarked against other Oceania sites. (Sick leave and overtime metrics have improved, indicating that this is working well)</w:t>
            </w:r>
          </w:p>
          <w:p w:rsidR="00EB7645" w:rsidRPr="00BE00C7" w:rsidP="00BE00C7">
            <w:pPr>
              <w:pStyle w:val="OutcomeDescription"/>
              <w:spacing w:before="120" w:after="120"/>
              <w:rPr>
                <w:rFonts w:cs="Arial"/>
                <w:b w:val="0"/>
                <w:lang w:eastAsia="en-NZ"/>
              </w:rPr>
            </w:pPr>
            <w:r w:rsidRPr="00BE00C7">
              <w:rPr>
                <w:rFonts w:cs="Arial"/>
                <w:b w:val="0"/>
                <w:lang w:eastAsia="en-NZ"/>
              </w:rPr>
              <w:t>Overtime as a percentage of Gross Wage has reduced from an average of 1.8% over 2020 to 1.1% in December 2022 - this shifted Redwood from the ‘red’ to the ‘green’ category benchmarked against other Oceania sites.</w:t>
            </w:r>
          </w:p>
          <w:p w:rsidR="00EB7645" w:rsidRPr="00BE00C7" w:rsidP="00BE00C7">
            <w:pPr>
              <w:pStyle w:val="OutcomeDescription"/>
              <w:spacing w:before="120" w:after="120"/>
              <w:rPr>
                <w:rFonts w:cs="Arial"/>
                <w:b w:val="0"/>
                <w:lang w:eastAsia="en-NZ"/>
              </w:rPr>
            </w:pPr>
            <w:r w:rsidRPr="00BE00C7">
              <w:rPr>
                <w:rFonts w:cs="Arial"/>
                <w:b w:val="0"/>
                <w:lang w:eastAsia="en-NZ"/>
              </w:rPr>
              <w:t>•</w:t>
              <w:tab/>
              <w:t>Staff understand the methodology and are more aware of the importance of metrics and measurement to assess care needs and solve day to day problems.</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A general sense of improvement in staff morale – hearing laughter and genuine banter between staff and residents; positive sentiment towards management; positive perceptions amongst families of the changes made as evidenced in this report.  </w:t>
            </w:r>
          </w:p>
          <w:p w:rsidR="00EB7645" w:rsidRPr="00BE00C7" w:rsidP="00BE00C7">
            <w:pPr>
              <w:pStyle w:val="OutcomeDescription"/>
              <w:spacing w:before="120" w:after="120"/>
              <w:rPr>
                <w:rFonts w:cs="Arial"/>
                <w:b w:val="0"/>
                <w:lang w:eastAsia="en-NZ"/>
              </w:rPr>
            </w:pPr>
            <w:r w:rsidRPr="00BE00C7">
              <w:rPr>
                <w:rFonts w:cs="Arial"/>
                <w:b w:val="0"/>
                <w:lang w:eastAsia="en-NZ"/>
              </w:rPr>
              <w:t>•</w:t>
              <w:tab/>
              <w:t>Four RNs have been put through the ‘Level Up’ process leading to improved potential for retention.</w:t>
            </w:r>
          </w:p>
          <w:p w:rsidR="00EB7645" w:rsidRPr="00BE00C7" w:rsidP="00BE00C7">
            <w:pPr>
              <w:pStyle w:val="OutcomeDescription"/>
              <w:spacing w:before="120" w:after="120"/>
              <w:rPr>
                <w:rFonts w:cs="Arial"/>
                <w:b w:val="0"/>
                <w:lang w:eastAsia="en-NZ"/>
              </w:rPr>
            </w:pPr>
            <w:r w:rsidRPr="00BE00C7">
              <w:rPr>
                <w:rFonts w:cs="Arial"/>
                <w:b w:val="0"/>
                <w:lang w:eastAsia="en-NZ"/>
              </w:rPr>
              <w:t>The new approach, saw the development of skills improvement and introduce skills mix philosophy to rostering for all clinical staff including 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Considerations included the historical high sick leave and overtime rates of staff and accrued leave liability. Team dynamics were not always conducive to a culture of cohesion and good teamwork.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Redwood site re-development saw the number of residents being reduced during the period of redevelopment. Staff took the opportunity to review the rosters of staff. This was done in a planned way with staff, management, and union involvement. A ‘PDSA’ project management process was undertaken which took into account areas which could be improved, such as improve clinical indicators (for example falls, pressure injuries, issues with staff, such as team dynamics and financial imperatives, for example, high sick and annual leave). The new approach, saw the development of skills improvement and introduced a skills mix philosophy to rostering for all clinical staff including 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work has seen an improvement in all areas identified and has seen the development of tools for assessing resident acuity against staff skill mix to ensure better outcomes for the residents. The tools have been used by other Oceania facility to review staffing and roster development.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year 2020, eighteen medication errors were reported. Investigation revealed that the thirty two GPs used by residents were charting medications at different times resulting in ongoing medication rounds. This, combined with a small medication room, meant staff could not see which medications needed to be reordered. The CM engaged with the GPs and got them to streamline charting to decrease the number of rounds. The medication room was revamped to enable staff to see clearly what stock needed to be reordered. Competencies were refreshed and extra training provided where needed. Health care assistants were educated to not interrupt the round and took over answering the phone. Photo identification was included in the trolley. At change of shift the two RNs physically check the trolley together to ensure all medications are given.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project to reduce the rate of medication errors was implemented and resulted in a decrease of medication errors from eighteen in 2020 to zero in 2021.  This included staff competencies related to medication management being assessed and training occurred as necessary.  Medication rounds became more efficient due to agreed medication administration times and medication trolley checking.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Redwood Rest Home and Village</w:t>
    </w:r>
    <w:bookmarkEnd w:id="58"/>
    <w:r>
      <w:rPr>
        <w:rFonts w:cs="Arial"/>
        <w:sz w:val="16"/>
        <w:szCs w:val="20"/>
      </w:rPr>
      <w:tab/>
      <w:t xml:space="preserve">Date of Audit: </w:t>
    </w:r>
    <w:bookmarkStart w:id="59" w:name="AuditStartDate1"/>
    <w:r>
      <w:rPr>
        <w:rFonts w:cs="Arial"/>
        <w:sz w:val="16"/>
        <w:szCs w:val="20"/>
      </w:rPr>
      <w:t>27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