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Living Waters Medical Solutions Limited - Living Waters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Living Waters Medical Solutions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Living Waters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20 January 2022</w:t>
      </w:r>
      <w:bookmarkEnd w:id="7"/>
      <w:r w:rsidRPr="009418D4">
        <w:rPr>
          <w:rFonts w:cs="Arial"/>
        </w:rPr>
        <w:tab/>
        <w:t xml:space="preserve">End date: </w:t>
      </w:r>
      <w:bookmarkStart w:id="8" w:name="AuditEndDate"/>
      <w:r w:rsidR="00A4268A">
        <w:rPr>
          <w:rFonts w:cs="Arial"/>
        </w:rPr>
        <w:t>20 January 2022</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Please note – The name of the facility has changed to Living Waters.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Living Waters provides rest home level care for up to 21 residents.  On the day of the audit there were 16 residents requiring rest home level of care.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staff, management, and a general practitioner.  </w:t>
      </w:r>
    </w:p>
    <w:p w:rsidRPr="00A4268A">
      <w:pPr>
        <w:spacing w:before="240" w:line="276" w:lineRule="auto"/>
        <w:rPr>
          <w:rFonts w:eastAsia="Calibri"/>
        </w:rPr>
      </w:pPr>
      <w:r w:rsidRPr="00A4268A">
        <w:rPr>
          <w:rFonts w:eastAsia="Calibri"/>
        </w:rPr>
        <w:t>A facility manager (non-clinical) with experience as a general practice manager oversees the service and is supported by a clinical nurse manager (CNM).  Residents, relatives, and the general practitioner (GP) interviewed spoke positively about the service provided.</w:t>
      </w:r>
    </w:p>
    <w:p w:rsidRPr="00A4268A">
      <w:pPr>
        <w:spacing w:before="240" w:line="276" w:lineRule="auto"/>
        <w:rPr>
          <w:rFonts w:eastAsia="Calibri"/>
        </w:rPr>
      </w:pPr>
      <w:r w:rsidRPr="00A4268A">
        <w:rPr>
          <w:rFonts w:eastAsia="Calibri"/>
        </w:rPr>
        <w:t xml:space="preserve">This audit has identified eight shortfalls around the following:  cover for the clinical nurse manager when on leave, the quality programme, notification to Worksafe when required, reference checking, performance appraisals, staffing, neurological observations, and hot water temperatures.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Living Waters provides care in a way that focuses on the individual resident.  The Health and Disability Commissioner Code of Health and Disability Services Consumers' Rights (the Code) brochures are accessible to residents and their families.  The service functions in a way that complies with the Health and Disability Commissioner’s Code of Consumers’ Rights.  Cultural and spiritual needs of residents are met.  Policies are implemented to support residents’ rights, communication, and complaints management.  Information on informed consent is included in the admission agreement and discussed with residents and relatives.  Care plans accommodate the choices of residents and/or their family/whānau.  Complaints and concerns have been managed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Policies and procedures are maintained by an external aged care consultant who ensures they align with current good practice and meet legislative requirements.  The quality and risk management programme includes service philosophy, goals, and quality indicators.  Quality activities are conducted, and this generates improvements in practice and service delivery.  Meetings are held with data tabled.  Residents/family meetings have been held monthly.  Health and safety policies, systems and processes are documented.  </w:t>
      </w:r>
    </w:p>
    <w:p w:rsidRPr="00A4268A">
      <w:pPr>
        <w:spacing w:before="240" w:line="276" w:lineRule="auto"/>
        <w:rPr>
          <w:rFonts w:eastAsia="Calibri"/>
        </w:rPr>
      </w:pPr>
      <w:r w:rsidRPr="00A4268A">
        <w:rPr>
          <w:rFonts w:eastAsia="Calibri"/>
        </w:rPr>
        <w:t xml:space="preserve">There are human resource policies in place. An education and training programme has been implemented with a current training plan in place and competencies relevant to carer roles completed.  Rosters are documented.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 Living Waters welcome pack is provided to family and residents prior to or on entry to the service.  The clinical nurse manager and enrolled nurse are responsible for each stage of service provision.  The CNM is responsible for all aspects of care planning, assessment and evaluation of care with the resident and/or family input.  Care plans reviewed in resident records demonstrated service integration and were evaluated at least six-monthly.  Resident files included medical notes by the general practitioner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The CNM, enrolled nurse and medication competent caregivers are responsible for administration of medicines and complete annual education and medication competencies.  The electronic medicine charts reviewed met legislative prescribing requirements and were reviewed at least three-monthly by the general practitioner.     </w:t>
      </w:r>
    </w:p>
    <w:p w:rsidRPr="00A4268A" w:rsidP="00621629">
      <w:pPr>
        <w:spacing w:before="240" w:line="276" w:lineRule="auto"/>
        <w:rPr>
          <w:rFonts w:eastAsia="Calibri"/>
        </w:rPr>
      </w:pPr>
      <w:r w:rsidRPr="00A4268A">
        <w:rPr>
          <w:rFonts w:eastAsia="Calibri"/>
        </w:rPr>
        <w:t xml:space="preserve">The diversional therapist provides and implements the activity programme with support from a volunteer and caregivers.  The programme includes community visitors and outings, entertainment and activities that meet the individual recreational, physical, cultural and cognitive abilities and preferences for the resident group.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on-site.  Food, fluid, and nutritional needs of residents are provided in line with recognised nutritional guidelines.  Residents commented very positively on the meals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There are documented processes for the management of waste and hazardous substances in place, and incidents are reported in a timely manner.  Chemicals are stored safely throughout the facility.  The building holds a current warrant of fitness.  Residents can freely mobilise within the communal areas with safe access to the outdoors, seating and shade.  Resident bedrooms are personalised.  Documented policies and procedures for the cleaning and laundry services are implemented with appropriate monitoring systems in place to evaluate the effectiveness of these services.  Documented systems are in place for essential, emergency and security services.  There is a registered first aider on each shift.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should this be required.  Staff receive regular education and training on restraint minimisation and management of challenging behaviour.  No restraint or enabler was in use on the day of audit.  Living Waters has been restraint free for eight years.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There is a suite of infection control policies and guidelines to support practice.  The infection control programme and its content and detail are appropriate for the size, complexity and degree of risk associated with the service.  The clinical nurse manager is responsible for infection control.  The infection control coordinator has a job description and has attended external education within the past year. Staff complete annual competencies related to infection control. </w:t>
      </w:r>
    </w:p>
    <w:p w:rsidRPr="00A4268A">
      <w:pPr>
        <w:spacing w:before="240" w:line="276" w:lineRule="auto"/>
        <w:rPr>
          <w:rFonts w:eastAsia="Calibri"/>
        </w:rPr>
      </w:pPr>
      <w:r w:rsidRPr="00A4268A">
        <w:rPr>
          <w:rFonts w:eastAsia="Calibri"/>
        </w:rPr>
        <w:t xml:space="preserve">Surveillance data is documented. There have been no outbreaks.  A pandemic plan was actioned, and Covid 19 policies and procedures have been developed and continue to be implemented.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39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4</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85</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6</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717"/>
        <w:gridCol w:w="1280"/>
        <w:gridCol w:w="894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relating to the Code of Health and Disability Services Consumer Rights (the Code) is implemented.  Leaflets on the Code are accessible to residents and their families. Staff receive training about the Code during their induction to the service, with this provided annually through the staff education and training programme.  A staff education session on the Code was held in July 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clinical nurse manager (CNM) and staff interviewed (three caregivers, one cook, and the diversional therapist) could describe how the Code is incorporated into their everyday delivery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established informed consent, resuscitation and advanced directives policies/procedures.  All five resident files including one younger resident under Ministry of Health (MOH) funding contained written consents. General written consents are obtained on admission including photos, name on door, sharing of information, outings and transport.  Specific consents are obtained for specific procedures such as influenza and Covid vaccinations.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Resuscitation status had been signed appropriately.  Advance directive care plans were signed for separately and sighted in all five resident files.  Copies of enduring power of attorney (EPOA) where available were in the residents’ files.  The EPOA had been activated for residents deemed incompetent to make health related decisions.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are in place to ensure residents, and where appropriate their family/whānau, are provided with appropriate information to make informed choices and informed decisions.  The caregivers and clinical nurse manager interviewed, demonstrated a good understanding in relation to informed consent and informed consent processes.  </w:t>
            </w:r>
          </w:p>
          <w:p w:rsidR="00EB7645" w:rsidRPr="00BE00C7" w:rsidP="00BE00C7">
            <w:pPr>
              <w:pStyle w:val="OutcomeDescription"/>
              <w:spacing w:before="120" w:after="120"/>
              <w:rPr>
                <w:rFonts w:cs="Arial"/>
                <w:b w:val="0"/>
                <w:lang w:eastAsia="en-NZ"/>
              </w:rPr>
            </w:pPr>
            <w:r w:rsidRPr="00BE00C7">
              <w:rPr>
                <w:rFonts w:cs="Arial"/>
                <w:b w:val="0"/>
                <w:lang w:eastAsia="en-NZ"/>
              </w:rPr>
              <w:t>Family and residents interviewed, confirmed they have been made aware of and fully understand informed consent processes and that appropriate information had been provided on admission.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Five long-term resident files reviewed had signed admission agreements.  There is a respite/short stay admission agreement used for short-term stay.   The agreements include permissions granted.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Disability advocacy brochures are included in the information provided to new residents and their family/whānau during their entry to the service.  The complaints process is linked to advocacy services.  Staff receive regular education and training on the role of advocacy services, which begins during their induction to the service.  Residents and family interviewed were aware of the role of advocacy services and their right to access support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encourages their residents to maintain their relationships with friends and community groups.  Residents may have visitors of their choice at any time.  Assistance is provided by the caregivers to ensure that the residents continue to participate in their chosen community group.  There are a number of community visitors to the facility in accordance with Covid 19 regulations.  The service is gradually re-introducing entertainers into the service so long as they are fully vaccinated.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diversional therapist (DT) is available to take residents on community visits and staff are available to take people to appointments if family are not able to provide transport. </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confirmed they can have access to visitors of their choice at any time and are supported to access services within the community. There were a large number of family visiting on days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forms are available at the front entrance to the facility.  Information around the complaints process is provided on admission and is included in the admission pack.  A record of all complaints, both verbal and written is maintained by the facility manager on the complaints register.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complaint in 2021 and one complaint in January 2022.  Both complaints were received since the last audit.  Documentation and correspondence reflected evidence of responding to the complaints in a timely manner with appropriate follow-up actions taken.  Staff interviewed confirmed that complaints were discussed at the staff meetings. Complaint documentation requiring changes to care planning are signed by staff once read.  Residents and relatives advised that they are aware of the complaints procedure and how to access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Details relating to the Code and the Health and Disability Advocacy Service are included in the resident information that is provided to new residents and their families.  The CNM discusses aspects of the Code with residents and their family on admission.  Discussions relating to the Code are also held during the resident/family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Five residents and four relatives interviewed reported that the residents’ rights were being upheld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rooms are personalised and decorated to the residents’ individual taste with their belongings.  The caregivers interviewed reported that they knock on bedroom doors prior to entering rooms and this was demonstrated on the day of audit.  Caregivers confirmed they promote the residents' independence by encouraging them to be as active as possible.  Residents and relatives interviewed and observations during the audit confirmed that the residents’ privacy is respected.  Guidelines on abuse and neglect are documented in policy.  Staff receive education and training on abuse and neglect annually with this on the training plan to be held this month.  The staff interviewed can fluently describe examples of abuse and signs and symptoms residents may portray.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ensuring that the individual interests, customs, beliefs, cultural and ethnic backgrounds of Māori are valued and fostered within the service.  The care staff interviewed reported that they value and encourage active participation and input from the family/whānau in the day-to-day care of the residents.  The staff interviewed were knowledgeable around Māori culture and practices.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Living Waters has access to a cultural advisor from Te Ara Toiora (Te Oranganui Iwi Health Authority).  Maori language week is recognised in the activities programme.  The local kaumatua is invited to bless rooms following a resident’s death, and staff are invited to join in with the blessing and karakia.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who identified as Māori on the day of the audit.  One staff member identifies as Maori and some staff are able to speak some te reo Maori. Staff education on cultural awareness begins during their induction to the service and continues annually, with this last held in November 2021.  All staff complete a cultural competency (sighted on files reviewed for staff who have been in the service for more than three months).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CNM and/or enrolled nurse at Living Waters identify the residents’ personal needs, culture, values and beliefs at the time of admission.  This is achieved in collaboration with the resident, whānau/family and/or their representative.  Beliefs and values are incorporated into the residents’ care plans in resident files reviewed.  Residents and family/whānau interviewed confirmed they were involved in developing the resident plan of care, which included the identification of individual values and beliefs.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staff code of conduct, which states there will be zero tolerance against any discrimination occurring.  The CNM and facility manager supervise staff to ensure professional practice is maintained in the service.  The abuse and neglect processes cover harassment and exploitation.  All residents interviewed reported that the staff respected them and that there was no evidence of discrimination.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Job descriptions include responsibilities of the position, ethics, advocacy, and legal issues.  The orientation and employee agreement provided to staff on induction includes standards of conduct.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and a staff training programme which covers all aspects of service delivery.  Internal auditing programmes are implemented.  External specialists such as wound care specialist, nurse practitioners, and continence nurse were used where appropriate. The general practitioner (director) is also able to provide support and advice if required. The facility manager is also a practice manager and is able to access support from the medical centre if required. </w:t>
            </w:r>
          </w:p>
          <w:p w:rsidR="00EB7645" w:rsidRPr="00BE00C7" w:rsidP="00BE00C7">
            <w:pPr>
              <w:pStyle w:val="OutcomeDescription"/>
              <w:spacing w:before="120" w:after="120"/>
              <w:rPr>
                <w:rFonts w:cs="Arial"/>
                <w:b w:val="0"/>
                <w:lang w:eastAsia="en-NZ"/>
              </w:rPr>
            </w:pPr>
            <w:r w:rsidRPr="00BE00C7">
              <w:rPr>
                <w:rFonts w:cs="Arial"/>
                <w:b w:val="0"/>
                <w:lang w:eastAsia="en-NZ"/>
              </w:rPr>
              <w:t>There is an active culture of ongoing staff development with the Careerforce programme being implemented. There is also access to training at the district health board for the CNM. There are implemented competencies for caregivers and the CNM.  There are clear ethical and professional standards and boundaries within job descriptions.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relatives and the general practitioner (GP) interviewed were very complimentary about the care and support provided.  Staff stated that the general practitioner who visits the service provides them with information and support whenever required.  The general practitioner interviewed stated that the service provided a high quality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Residents and relatives interviewed confirmed the admission process and agreement was discussed with them.  They were provided with adequate information on entry.  The CNM and facility manager operate an open-door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Fifteen incident/accident forms reviewed from November 2021 to January 2022 identified the next of kin (NOK) were notified following a resident incident.  The relatives interviewed confirmed they are notified promptly of any incidents/accidents with examples given of when they had been rung.  Interpreter services are available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had raised money and purchased an iPad so residents could keep in touch with families during the lockdown period. Family members stated that they were kept fully informed around changes in visiting hours and expectations related to Covid 19. They also stated that the service had kept in touch with them during lockdown around their family member.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Living Waters provides care for up to 21 rest home level residents.  There were 16 permanent residents on the day of the audit including two residents under a YPD (young person with a disability) contract.  All other residents were under the Aged Residential Related Care (ARRC) contract. There were no residents on an intermediate care or respite contract.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strategic plan and a 2022 quality and business plan which includes the mission, philosophy, and goals with actions for the following year.  Aims and ambitions for the 2021 year have been signed out as being resolved. The facility manager states that the goals for 2022 will be reviewed annually with input from the other director.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(director) is non-clinical and has a background in practice management (GP practice) for three years, with a further 12 years’ experience in correctional facilities. They have completed more than eight hours of training relevant to the role.  The facility manager is supported by the clinical nurse manager (CNM) who has 11 years’ experience in aged care nursing including previous experience as a unit manager.  They have an annual practicing certificate and have completed in excess of eight hours of professional development in the past 12 months.  The other director is a GP who visits the practice to provide medical care to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Both the facility manager and the CNM started in the role in March 2021 following the sale of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the facility manager confirmed that the CNM and facility manager are on call alternatively after hours.  The CNM is expected to provide cover for the facility manager in a temporary absence.  There is no back up registered nurse in place should the CNM be on leave.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Living Waters is implementing a quality and risk management system.  There are policies and procedures being implemented to provide assurance that the service is meeting accepted good practice and adhering to relevant standards - including those standards relating to the Health and Disability Services (Safety) Act 2001.  These are checked by an aged care consultant, who reviews policies to ensure they align with current good practice and meet legislative requirements.  All policies have been reviewed in January 2022.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internal audit programme is in place that includes aspects of clinical care.  Issues arising from internal audits are either resolved at the time or developed into a quality improvement plan.  The closure of corrective actions resulting from the internal audit programme was recorded.  The closure of corrective actions resulting from the internal audit programme was recorded, signed off by the facility manager or CNM.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record of monthly risk identification, and quality indicators is maintained and tabled at the monthly meetings.  A copy is filed with the completed monthly internal audits.  Monthly accident/incident reports and infections is graphed and the CNM reviews this.  Quality matters are taken to the monthly combined staff/quality meetings which includes health and safety and infection control.  Quality/staff meeting minutes do not evidence discussion of data and improvements made as a result of that discussion.  Staff interviewed state that there was discussion at the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have occurred six-weekly in the past.  The diversional therapist (DT) is moving these to two-monthly, as there is a limited number of residents who wish to come to meetings.  Family are invited to attend.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Satisfaction surveys are held annually and include resident, relative, and staff satisfaction.  There is also a separate resident privacy audit, activities survey and nutritional survey completed by residents.  The resident satisfaction survey identified that 91% of residents are satisfies with the service.  The 2021 identified that 95% of residents were satisfied however this was prior to the new owners being in place.  The relatives’ satisfaction survey identified that 98% were satisfied with the service.  There were no areas consistently raised for improvement in either survey.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risk management plan is in place.  The facility manager has taken on the role of health and safety representative and is committed to completing health and safety training (link 1.2.4.2).  Staff receive health and safety training during orientation and ongoing and each completes an annual competency around health and safety.  Health and safety is discussed and documented in the monthly quality/staff meetings.  Actual and potential risks are documented on the hazard register, which identifies risk ratings and documents actions to eliminate or minimise the risk.  The register is up-to-date and was reviewed at the end of 2021.  Falls management strategies include wireless sensor mats, and the development of specific falls management plans to meet the needs of each resident who is at risk of falling.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Individual reports related to residents are completed for each incident/accident with immediate action noted including any follow-up action(s) required.  Incident/accident data is linked to the organisation's quality and risk management programme.  Fifteen accident/incident forms were reviewed with each incident involving a resident clinical assessment and follow-up by a registered nurse.  Neurological observations were conducted for suspected head injuries; however, these were not always completed as per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CNM and facility manager reported that they are aware of their responsibility to notify relevant authorities in relation to essential notifications.  One notification has been made for a fracture for one resident since the last audit, however, the service has not reported a serious staff incident to Worksafe, HealthCERT or the DHB.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Five staff files sampled (facility manager, CNM, one enrolled nurse, one caregiver, one diversional therapist) contained documentation apart from evidence of reference checks and evidence of performance appraisals completed annually.  Current practising certificates were sighted for the CNM and allied health professionals.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Staff interviewed believed new staff were adequately orientated to the service on employment.  An annual training programme covering all the relevant requirements is implemented.  Attendance records evidence good attendance at education.  Staff have the opportunity to attend external education and online training is monitored by the CNM.  Care staff complete competencies relevant to their role, including medication competencies, manual handling, restraint, pain, culture, hydration and nutrition, infection control, health and safety and wound care.  All staff have current first aid certificates apart from very new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Of the 10 caregivers in the service, there are five with level 2 New Zealand Qualification Authority (NZQA) through Careerforce training; three with level three and two in training; and two with level four with one in training. The kitchen staff have food handling certificates.  There is one enrolled nurse who has completed relevant competencies.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Living Waters has a documented rationale for determining staffing levels and skill mixes for safe service delivery.  There is a roster that provides sufficient and appropriate coverage for the effective delivery of care and support.  The facility manager works five days a week (Monday to Friday) and is supported by the CNM who works 40 hours a week.  The managers share the on-call load with this clearly designated on the roster re who is on call. The caregivers interviewed stated that the one manager was difficult to get hold of when on call and the facility manager confirmed awareness of this.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They are supported by the following caregivers: </w:t>
            </w:r>
          </w:p>
          <w:p w:rsidR="00EB7645" w:rsidRPr="00BE00C7" w:rsidP="00BE00C7">
            <w:pPr>
              <w:pStyle w:val="OutcomeDescription"/>
              <w:spacing w:before="120" w:after="120"/>
              <w:rPr>
                <w:rFonts w:cs="Arial"/>
                <w:b w:val="0"/>
                <w:lang w:eastAsia="en-NZ"/>
              </w:rPr>
            </w:pPr>
            <w:r w:rsidRPr="00BE00C7">
              <w:rPr>
                <w:rFonts w:cs="Arial"/>
                <w:b w:val="0"/>
                <w:lang w:eastAsia="en-NZ"/>
              </w:rPr>
              <w:t>On the morning shift, there is one caregiver from 7am to 3pm, one 7am to 11am, and one from 7.30am to 1.30pm. There is one caregiver in the afternoon from 3pm to 8pm, one from 4pm to midnight and overnight there is one caregiver form midnight to 8am. There is a kitchen assistant who comes in to help with feeding residents in the evening.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stated that they thought that staff were working very hard and struggling to catch up on some tasks although all stated that cares were completed. The rosters from November to date (January) indicated that when staff where on leave, they had not always been able to be replaced.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entering the service have all relevant initial information recorded within 24 hours of entry into each resident’s individual record.  Information containing personal resident information is kept confidential and cannot be viewed by other residents or members of the public.  Residents’ files are protected from unauthorised access by being held in secure rooms.  Archived records are secure in a separate locked area.  The residents’ files are appropriate to the service type.  Residents’ files demonstrate service integration.  Entries are legible, dated, timed and signed by the relevant caregiver or RN, including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in place for entry into the service. This is facilitated in a competent, timely and respectful manner.  Admission information packs on the service are provided for families and residents prior to admission or on entry to the service.  Admission agreements reviewed aligned with all contractual requirements.  Exclusions from the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exits or discharges to and from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The clinical nurse manager, enrolled nurse (EN) and senior caregivers who administer medications complete annual medication competencies and education.  The medication storage areas are secure.  Medications (blister packs) are checked on delivery by the clinical nurse manager or EN against the electronic medication chart and verified on the medication system.  Any discrepancies are fed back to the pharmacy.  Standing orders are not used.  There is no impress stock held.  There were no self-medicating residents.  The medication fridge is monitored each night and within acceptable limits.  The medication room air (nurses’ station) is monitored daily and identified corrective actions for temperatures above 25 degrees Celsius.  All eyedrops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medication charts were reviewed on the electronic medication system.  All medication charts had photo identification and an allergy status. The GP reviews the medication charts at least three monthly.  As required medications had indications for use and administered as prescribed.  The effectiveness of as required medications was documented in the electronic medication system and 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Meals are prepared in a homely open plan kitchen adjacent to the dining room and served directly to the residents.  The head cook works from Wednesday to Sunday from 8am to 2pm.  The head cook is supported by a second cook on Mondays and Tuesdays.  Food services staff have attended food safety training.  The six weekly menu dietitian review is booked February 2022.  The menu includes pureed and vegetarian meals.  The main meal is at midday with a savoury meal in the evening.  The cook receives a nutritional profile for each resident and is notified of any dietary changes.  Special diets include a gluten free diet.  Dislikes are known and accommodated.  A kitchenhand is on duty from 5-7pm to heat and serve the prepared evening meal.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current food control plan which expires 1 June 2022.  Fridge, freezer and chiller temperatures are monitored and recorded daily.  End-cooked temperatures are taken and recorded.  Cooling temperatures are recorded.  The thermometer probe is calibrated.  Temperatures of inward goods are maintained.  A cleaning schedule is maintained.  The dishwasher has recently been replaced.  All containers of food stored in the pantry are labelled and dated.  All perishable goods are date labelled.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along with direct input from residents, provides resident feedback on the meals and food services generally.  Residents and family members interviewed were very satisfied with the meals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in place to guide practice.  The reasons for declining entry would be if the service is unable to provide the level of care required or there are no beds available.  The service communicates directly with the referring agencies and family/whānau as appropriate if entry was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RN or enrolled nurse completes an initial assessment and care plan (countersigned by the RN) on admission, including a clinical risk assessment and relevant risk assessment tools.  Risk assessments are completed six-monthly. The interRAI assessment is completed within 21 days of admission and six monthly or earlier due to health changes.  The outcomes of assessments form the basis of the long-term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plans reviewed were resident focused and included medical needs, daily activities of living and care needs and supports.  Acute plan of care (short-term care plans) is used for changes to health and were sighted in resident files.  These are reviewed weekly and if the problem remains unresolved after six weeks this is added to the long-term care plan.  All long-term care plans were current and up to date.  The resident (as appropriate) and relative sign the front page of the care plan to acknowledge they had have read and discussed the care plan with the RN.  Relatives interviewed confirmed they were involved in the care planning process.  Resident files demonstrated service integration.  </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of allied healthcare professionals involved in the care of residents including mental health services, needs assessment, dietitian, ACC physio, psychogeriatrican and podiatrist.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clinical nurse manager or enrolled nurse initiates a review and if required, GP or nurse specialist consultation.  There is documented evidence on the family contact form in each resident file that indicates family were notified of any changes to their relative’s health including infections, accidents/incidents, GP visits, medication changes and referrals and appointments.   Discussions with families confirmed they are notified promptly of any changes to their relative’s health.  Short term care plans are documented to monitor a resident progress against interventions for changes in health.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 the nurse’s station/treatment room.  Wound management policies and procedures are in place.  Wound assessment and wound management and treatment forms and ongoing evaluation forms were in place for three residents with wounds (two surgical, one lesion and two non-facility acquired healing stage 2 pressure injuries).  There is access to a wound nurse specialist at the DHB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There is access to a continence nurse specialist by referral.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weighed monthly or more frequently if weight is of concern.  Monitoring forms are used for weight, pulse, temperature and blood pressure recordings, neurological observations (link 1.2.4.3), pain, challenging behaviour, food and fluid charts, bowel monitoring and resident checks.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qualified diversional therapist (DT) who works from 9am to midday Monday to Friday. She has been in the role one week, completing her orientation and is booked for first aid training.  The DT does daily meet and greet with all residents and one-on-one activities such as individual walks, reading and chats, occur for residents who choose not to be involved in group activities. Care staff follow the DT guide for afternoon and weekend activities.  There are plentiful resources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programme is planned a month in advance in consultation with the facility manager and resident feedback from the two monthly resident meetings. Many activities involving entertainers and community outings have been disrupted due to Covid restrictions.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Regular activities include newspaper reading, exercises using the age concern falls prevention programme, board games, crafts, discussions and music. The facility has two home cats, but pet therapy has been on hold.   There are monthly non-denominational services and weekly communion.  Festive occasions and themes are celebrated.  Families are invited to attend events.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hires a 10-seater van for monthly outings, scenic drives and picnics. Two staff (the DT and the facility manager who has a current first aid certificate) accompany the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diversional therapy assessment, map of life and Individual activity plans DT plan was completed in all files reviewed.  They are reviewed in discussion with the clinical nurse manager, EN resident and families every six months.  The two younger persons have individualised activity plans identifying their recreational preferences and one on one activities such as use of the iPad.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receives feedback and suggestions for the programme through resident meetings, surveys and direct feedback from residents and families.  There was positive feedback from residents and families about the activities programme which they have input into.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for long-term residents were evaluated by an RN or EN within three weeks of admission and long-term care plans developed.  Long-term care plans have been evaluated by an RN or EN (countersigned by the RN) six monthly, using the interRAI tool or earlier for any health changes.  The GP reviews the residents at least three-monthly or earlier if required.  Ongoing nursing evaluations occur as indicated and are documented within the progress notes or the care plan.  Care plans had been updated with any changes to health.  Short-term care plans are reviewed weekly and either resolved or if an ongoing problem added to the care plan.  The care plan evaluations identified if the resident goals had been met or unmet.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 files reviewed.  Examples of referral for a higher level of care were seen such as intermediate care to rest home care.  The GP involves the resident (as appropriate) and relative in discussions around referrals and options for care.  The service facilitates access to other medical and non-medical services.  Referral documentation is maintained on resident files.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to ensure incidents are reported in a timely manner.  Safety datasheets are readily accessible for staff.  Chemicals are stored in a locked cupboard in the laundry.  There is a spills kit available.  Chemical bottles sighted have correct manufacturer labels.  A sluice tub is located within a shower area.  Personal protective clothing is available for staff and was observed being worn by staff when they were carrying out their duties on the day of audit.  All staff have completed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22 June 2022.  The facility manager oversees the repairs required and the 52-week planned maintenance plan.  Staff complete forms for requests for repairs.  Contractors complete planned maintenance as scheduled.  Planned maintenance includes interior and exterior building, equipment checks, electrical checks and calibration of clinical equipment such as chair scales.  Resident shower and handbasins temperatures are checked monthly however some temperatures are above 45 degrees Celsius.  Essential contractors are available 24 hours.  There is ongoing refurbishment including replacement of the heating system, replaced lighting and fittings throughout the facility, new medical equipment and replacement of appliances.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sufficient space for residents to safely mobilise using mobility aids and communal areas are easily accessible.  There is safe ramp access to the deck and well maintained landscaped outdoor areas.  Seating and shade are provided.  A gardener is contracted fortnightly for lawns and gardens.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interviewed stated they have sufficient equipment including mobility aids, wheelchairs, chair scales and pressure injury resources (if required), to safely deliver the cares as outlined in the residents’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Bedrooms in two of the three wings have hand basins.  Two rooms have a shared hand basin and toilet ensuite.  There are adequate numbers of communal shower rooms and toilets (including a disability toilet) in each wing.  There are privacy curtains in showers and privacy locks or engaged/vacant signs on the doors.  Residents confirmed staff respect their privacy while attending to their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are single.  There is adequate room for residents to safely manoeuvre using mobility aids.  Rooms viewed were personalized with residents own furnishings and adornments as viewed on the day of audit.  Most resident rooms open out onto the deck with views of the garden.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within the facility include a spacious dining area with doors that open onto the large deck area with outdoor tables and chairs.  The lounge has an extension with a separate seating area and grand piano.  The lounge also has door access to the deck area.  There is a separate lounge that can be used for visiting and quieter activities.  Communal areas are easily accessible to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provide guidelines regarding the safe and efficient use of laundry and cleaning services.  Caregivers’ complete laundry and cleaning duties as scheduled across the shifts.  There is a designated laundry with a defined clean/dirty area.  The laundry is locked and has an external door for ventilation and access to the clothesline.  Linen and personal clothing is delivered to laundry in covered buckets where it is sorted.  There are two washing machine and dryer is serviced regularly.  </w:t>
            </w:r>
          </w:p>
          <w:p w:rsidR="00EB7645" w:rsidRPr="00BE00C7" w:rsidP="00BE00C7">
            <w:pPr>
              <w:pStyle w:val="OutcomeDescription"/>
              <w:spacing w:before="120" w:after="120"/>
              <w:rPr>
                <w:rFonts w:cs="Arial"/>
                <w:b w:val="0"/>
                <w:lang w:eastAsia="en-NZ"/>
              </w:rPr>
            </w:pPr>
            <w:r w:rsidRPr="00BE00C7">
              <w:rPr>
                <w:rFonts w:cs="Arial"/>
                <w:b w:val="0"/>
                <w:lang w:eastAsia="en-NZ"/>
              </w:rPr>
              <w:t>The cleaner’s trolley is kept in the laundry when not in use. There is a dispensing system for the re-filling of chemical bottles.  Safety data sheets are available.  Chemicals are kept in a locked cupboard in the laundry. There is protective personal clothing available.  The effectiveness of the cleaning and laundry processes are monitored through internal audits, resident meetings and surveys.  Residents and relatives interviewed were satisfied with the laundry service and cleanliness of the communal areas and their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disaster policies and procedures are documented for the service.  There is an approved fire evacuation scheme.  Fire drills occur every six months (last fire drill occurred in October 2021).  The orientation programme and annual education/training programme include fire and emergency procedure training.  A civil defence plan is documented for the service.  There are adequate supplies available in the event of a civil defence emergency including food and bottled water supplies to last for three days.  A gas BBQ and gas hobs in the kitchen are available for alternate cooking during a power failure.  Emergency lighting is in place.  A call bell system is in place including all resident rooms and communal areas.  The rest home is secure after hours.  There is at least one staff member on duty with a current first aid certificate.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provided with adequate natural light, safe ventilation, and an environment that is maintained at a safe and comfortable temperature.  All bedrooms have adequate natural light.  The furnace and heating system has been replaced.  There is underfloor heating which is centrally controlled.  Each resident room has a floor vent for heating.  There are gas log fires in the two lounges.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CNM is responsible for the infection control (IC) programme.  Responsibility for infection control is described in the job description.  The infection control coordinator oversees infection control for the facility and is responsible for the collation of infection events and facilitating discussion of data ((link 1.2.3.6).  The infection control programme is to be reviewed annually by the IC coordinator.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unwell.  Hand sanitisers are appropriately placed throughout the facility.  There have been no outbreaks since the previous audit.  There were plenty of supplies of personal protective equipment (PPE), gloves, masks, and hand sanitiser.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has attended infection control and prevention education through the DHB in the past year.  There is access to infection control expertise within the DHB, aged care consultant, wound nurse specialist, public health, and laboratory.  The GP monitors the use of antibiotics and is also available to give advice and support for the IC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recent Covid 19 lock down was well managed, logs have been maintained of staff temperature, and wellness declarations kept.  Staff were well updated with new information as it became available.  A resource folder has been maintained.  There were no admissions during the lockdown period.  The service continues to maintain contact tracing logs and each visitor must complete a wellness declaration.  Visiting remains restricted and is by appointment only.  The relatives interviewed during the audit praised the staff and management of Covid 19 and felt well informed and updated regularly.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policies include a comprehensive range of standards and guidelines including defined roles and responsibilities for the prevention of infection and training and education of staff.  Infection control procedures developed in respect of the kitchen, laundry and housekeeping, incorporate the principles of infection control.  The policies have been developed by an aged care consultant and are reviewed at least annually.  There have been recent Covid 19 policies and procedures developed and implemented.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coordinators are responsible for coordinating/providing education and training to staff.  Training on infection control is included in orientation and as part of the annual training schedule.  Staff complete infection control questionnaires annually with these sighted on staff files reviewed.  Hand hygiene competencies are completed during orientation and annually.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education is expected to occur as part of providing daily cares.  Education was provided to staff around the donning and doffing of personal protective equipment (PPE) and the correct hand washing techniques.  Education on the use of hand sanitiser and hand washing was provided to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Systems in place are appropriate to the size and complexity of the facility.  The infection control coordinator collates information obtained through surveillance to determine infection control activities and education needs in the facility.  Infection control data is expected to be discussed at the combined quality/ staff meetings (link 1.2.3.6).  Data and graphs of infection events are available to staff with these displayed in the office.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In-service education is provided annually with a good attendance for staff at the last one in 2021.  There have been no outbreaks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restraint minimisation and safe practice policy that is applicable to the service.  The CNM is the restraint coordinator position with a job description in place.  There is a documented definition of restraint and enablers, which is congruent with the definition in NZS 8134.0.  Restraint/enabler and challenging behaviour training has been provided annually.  Caregivers interviewed could fluently describe the differences between restraint and enablers and procedures around these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currently no residents using restraint or enablers at Living Waters which has now been restraint free for eight years.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731"/>
        <w:gridCol w:w="1280"/>
        <w:gridCol w:w="6664"/>
        <w:gridCol w:w="2714"/>
        <w:gridCol w:w="15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1.2.2.1</w:t>
            </w:r>
          </w:p>
          <w:p w:rsidR="00EB7645" w:rsidRPr="00BE00C7" w:rsidP="00BE00C7">
            <w:pPr>
              <w:pStyle w:val="OutcomeDescription"/>
              <w:spacing w:before="120" w:after="120"/>
              <w:rPr>
                <w:rFonts w:cs="Arial"/>
                <w:b w:val="0"/>
                <w:lang w:eastAsia="en-NZ"/>
              </w:rPr>
            </w:pPr>
            <w:r w:rsidRPr="00BE00C7">
              <w:rPr>
                <w:rFonts w:cs="Arial"/>
                <w:b w:val="0"/>
                <w:lang w:eastAsia="en-NZ"/>
              </w:rPr>
              <w:t>During a temporary absence a suitably qualified and/or experienced person performs the manager's role.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CNM provides cover for the facility manager if on leave.  There is no named replacement in place for the CNM if they are on leave.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Cover for the CNM has not been organised should the CNM be on leave.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Organise a second in charge for the CNM (registered nurse) should they be on leave.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Quality data is documented against indicators with the report tabled at the quality/staff meeting.  The meeting minutes also include tabling of the data.  The CNM holds graphs which are displayed in the nurses/staff office.  Staff sign if they have not been at the meeting to evidence that they have sighted the data.  Quality/staff meeting minutes do not evidence discussion of data although it is tabled in a number of places.  The caregivers stated that they did discuss data and gave an example of strategies put in place for one resident who had had a fall recently.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Quality/staff meeting minutes do not evidence discussion of data with improvements put in place in response to issues raised.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the quality/staff meeting minutes evidence discussion of data with a corrective action plan documented if required and documentation of resolution of the issues.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1.2.4.2</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understands their statutory and/or regulatory obligations in relation to essential notification reporting and the correct authority is notified where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and CNM stated that they were aware of reporting to HealthCERT using a section 31 form. There has been one notification to HealthCERT of a fractured neck of femur since the last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Worksafe was not notified of a serious fall, that involved one staff member in December 2021. The staff member is now back at work and Worksafe was notified by the facility manager on the day of the audit.  A section 31 was not completed for HealthCERT and the DHB was not notified however this was followed up by the facility manager on the day of audit.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Worksafe, HealthCERT and the DHB were not notified of a serious incident that occurred for one staff member until the day of audit.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Escalate any serious events as per Worksafe and contractual specifications.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Fifteen incident and accident forms were reviewed (from November 2021 to January 2022 to date). Relatives were notified of the incident or accident in all cases. Staff completed pain and/or post falls assessments when required. Six incident forms were reviewed for residents who had an unwitnessed fall and/or who had hit their head. Four did not have neurological observations taken as per policy (half hourly for two hours then hourly for four hours then reviewed) including observations for one resident who had an unwitnessed fall and had hit their head. Two residents with an unwitnessed fall (including one who had hit their head) documented neurological observations as per policy.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Four of six incident forms for residents with an unwitnessed fall and/or who had hit their head did not have neurological observations taken as per policy.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neurological observations are taken as per policy.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1.2.7.2</w:t>
            </w:r>
          </w:p>
          <w:p w:rsidR="00EB7645" w:rsidRPr="00BE00C7" w:rsidP="00BE00C7">
            <w:pPr>
              <w:pStyle w:val="OutcomeDescription"/>
              <w:spacing w:before="120" w:after="120"/>
              <w:rPr>
                <w:rFonts w:cs="Arial"/>
                <w:b w:val="0"/>
                <w:lang w:eastAsia="en-NZ"/>
              </w:rPr>
            </w:pPr>
            <w:r w:rsidRPr="00BE00C7">
              <w:rPr>
                <w:rFonts w:cs="Arial"/>
                <w:b w:val="0"/>
                <w:lang w:eastAsia="en-NZ"/>
              </w:rPr>
              <w:t>Professional qualifications are validated, including evidence of registration and scope of practice for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recruitment process implemented. Each of the five staff files reviewed had a signed contract in place. Reference checks were not able to be sighted on the files reviewed.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None of the five staff files reviewed had evidence that reference checks had been completed.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reference checks are completed prior to appointment of a staff member.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policy states that staff are to each have an annual performance appraisal.  A current performance appraisal was not able to be sighted on one of the four files for staff who had been in the service for more than a year.  The sample size was increased to include two more staff files (two cooks) and neither of these had performance appraisals completed.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Three of six staff files reviewed did not have a current annual performance appraisal.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each staff member has an annual performance appraisal completed.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managers take on three to four days on call each alternating with each other.  Staff stated that the one manager was difficult to get hold of and they had to at times had to ring the senior caregiver for advice.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stated that there had been a shortage of caregivers as caregivers had left towards the end of 2021 (retirement, etc). Interviews with the facility manager and caregivers confirmed that there had been a moderate to high turnover of staff with the service unable to recruit into caregiving positions quickly. Agency staff were not available. On three to four shifts each week on the rosters reviewed (November to January to date), there were indications that staff had not been replaced. Caregivers interviewed said that they tried to complete tasks but at times that was not possible. Caregivers are also responsible for doing laundry and cleaning. The facility manager has recently appointed two caregivers and it is thought that these appointments may help ease the caregiver shortage once they have completed orientation.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The on-call staff are not always responding to phone calls.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Staff are not always able to be replaced when on leave.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Train on-call staff to ensure that they respond to calls in a timely manner with monitoring of calls and response times to ensure that this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Review caregiver roles and recruit into positions to ensure that there are sufficient staff on duty to manage workload and acuity.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monthly hot water temperatures of communal showers and handbasins and shared ensuites.  Temperatures in communal showers and handbasins were within acceptable limits however the temperatures in shared ensuites were above 45 degrees Celsius.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Hot water temperatures in the shared ensuites had consistently been above 45 degrees Celsius for the last six months.  Temperatures ranged between 46-49 degrees Celsius with no evidence of correction actions taken.  The risk is considered low as the plumber adjusted the hot water system in the shared ensuites on the day of audit.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hot water temperatures in resident areas are maintained below 45 degrees Celsius.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Living Waters Medical Solutions Limited - Living Waters Rest Home</w:t>
    </w:r>
    <w:bookmarkEnd w:id="58"/>
    <w:r>
      <w:rPr>
        <w:rFonts w:cs="Arial"/>
        <w:sz w:val="16"/>
        <w:szCs w:val="20"/>
      </w:rPr>
      <w:tab/>
      <w:t xml:space="preserve">Date of Audit: </w:t>
    </w:r>
    <w:bookmarkStart w:id="59" w:name="AuditStartDate1"/>
    <w:r>
      <w:rPr>
        <w:rFonts w:cs="Arial"/>
        <w:sz w:val="16"/>
        <w:szCs w:val="20"/>
      </w:rPr>
      <w:t>20 January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