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Chetty's Investment Limited - Alexander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Chetty's Investment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Alexander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January 2022</w:t>
      </w:r>
      <w:bookmarkEnd w:id="7"/>
      <w:r w:rsidRPr="009418D4">
        <w:rPr>
          <w:rFonts w:cs="Arial"/>
        </w:rPr>
        <w:tab/>
        <w:t xml:space="preserve">End date: </w:t>
      </w:r>
      <w:bookmarkStart w:id="8" w:name="AuditEndDate"/>
      <w:r w:rsidR="00A4268A">
        <w:rPr>
          <w:rFonts w:cs="Arial"/>
        </w:rPr>
        <w:t>28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Chetty's Investment Limited - Alexander Lodge Rest Home provides care for up to 23 residents requiring rest home level care and residential disability care - psychiatric.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Services Standards and the provider’s contract with the district health board. The audit process included a review of policies, procedures, residents’ and staff files, observations and interviews with residents, family members, the management team and owner, and staff. </w:t>
      </w:r>
    </w:p>
    <w:p w:rsidRPr="00A4268A">
      <w:pPr>
        <w:spacing w:before="240" w:line="276" w:lineRule="auto"/>
        <w:rPr>
          <w:rFonts w:eastAsia="Calibri"/>
        </w:rPr>
      </w:pPr>
      <w:r w:rsidRPr="00A4268A">
        <w:rPr>
          <w:rFonts w:eastAsia="Calibri"/>
        </w:rPr>
        <w:t>There were no areas identified as requiring improvement at the last audit. There are two areas requiring improvement at this audit. These relate to neurological monitoring post unwitnessed falls and timeliness of interRAI assessments.</w:t>
      </w:r>
    </w:p>
    <w:p w:rsidRPr="00A4268A">
      <w:pPr>
        <w:spacing w:before="240" w:line="276" w:lineRule="auto"/>
        <w:rPr>
          <w:rFonts w:eastAsia="Calibri"/>
        </w:rPr>
      </w:pPr>
      <w:r w:rsidRPr="00A4268A">
        <w:rPr>
          <w:rFonts w:eastAsia="Calibri"/>
        </w:rPr>
        <w:t>Residents and family members interviewed were satisfied with the managers, staff, and the services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Resident’s and family members are informed of the complaints process of admission. There have been no complaints reported and residents and family members interviewed confirm they are aware of the complaints process and have no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 are documented. The quality and risk plan documents the goals and objectives. The manager (who has been the rest home owner since 2013), and the registered nurse/clinical manager work together to ensure services offered meet residents’ needs, legislative requirements and good practice standards. Both are on call when not on site.</w:t>
      </w:r>
    </w:p>
    <w:p w:rsidRPr="00A4268A">
      <w:pPr>
        <w:spacing w:before="240" w:line="276" w:lineRule="auto"/>
        <w:rPr>
          <w:rFonts w:eastAsia="Calibri"/>
        </w:rPr>
      </w:pPr>
      <w:r w:rsidRPr="00A4268A">
        <w:rPr>
          <w:rFonts w:eastAsia="Calibri"/>
        </w:rPr>
        <w:t xml:space="preserve">The quality and risk system and processes support effective, timely service delivery. The quality management system includes an internal audit programme, complaints management, compliments, incident/accident reporting, hazard management, resident satisfaction surveys, and restraint/enabler and infection control data collection. Quality and risk management activities and results are shared among managers, staff, residents and families, as appropriate. Corrective action planning is well documented. </w:t>
      </w:r>
    </w:p>
    <w:p w:rsidRPr="00A4268A">
      <w:pPr>
        <w:spacing w:before="240" w:line="276" w:lineRule="auto"/>
        <w:rPr>
          <w:rFonts w:eastAsia="Calibri"/>
        </w:rPr>
      </w:pPr>
      <w:r w:rsidRPr="00A4268A">
        <w:rPr>
          <w:rFonts w:eastAsia="Calibri"/>
        </w:rPr>
        <w:t>New staff have an orientation. Staff participate in relevant ongoing education. Applicable staff and contractors maintain current annual practising certificates. Residents and family members confirmed during interview that all their needs and wants are met.</w:t>
      </w:r>
    </w:p>
    <w:p w:rsidRPr="00A4268A">
      <w:pPr>
        <w:spacing w:before="240" w:line="276" w:lineRule="auto"/>
        <w:rPr>
          <w:rFonts w:eastAsia="Calibri"/>
        </w:rPr>
      </w:pPr>
      <w:r w:rsidRPr="00A4268A">
        <w:rPr>
          <w:rFonts w:eastAsia="Calibri"/>
        </w:rPr>
        <w:t>The service has a documented rationale for staffing which is implemented.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before entry to the service to confirm their level of care. The clinical manager (CM) is responsible for the assessment, development, and evaluation of care plans. Care plans are individualised and based on the residents’ assessed needs. Interventions are appropriate and evaluated by the CM as per policy requirements.</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family/whanau, residents, and staff.  Residents and family/whānau expressed satisfaction with the activities programme in place.</w:t>
      </w:r>
    </w:p>
    <w:p w:rsidRPr="00A4268A" w:rsidP="00621629">
      <w:pPr>
        <w:spacing w:before="240" w:line="276" w:lineRule="auto"/>
        <w:rPr>
          <w:rFonts w:eastAsia="Calibri"/>
        </w:rPr>
      </w:pPr>
      <w:r w:rsidRPr="00A4268A">
        <w:rPr>
          <w:rFonts w:eastAsia="Calibri"/>
        </w:rPr>
        <w:t>There is a medicine management system in place. The organisation uses a paper-based system in prescribing, dispensing, and administration of medications. The general practitioner (GP) is responsible for all medication reviews. Staff involved in medication administration are assessed as competent to do so.</w:t>
      </w:r>
    </w:p>
    <w:p w:rsidRPr="00A4268A"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and an approved fire evacuation plan. There have been no significant changes to the facility since the previous audit except for some renovation and refurbishment.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 commitment to not using restraint. The restraint minimisation and safe practice policy and definitions complied with the standard. There were no restraints or enablers in use during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8"/>
        <w:gridCol w:w="1280"/>
        <w:gridCol w:w="102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a compliments/concerns and complaints form readily available at the main entrance. There have been no complaints received since the last audit.  A complaints register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RN who is also the clinical manager (CM) are jointly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CM advised there have not been any complaints received from the district health board (DHB), Ministry of Health, or via the Health and Disability Commissioner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they are aware of the complaints process and have no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requirements of the Code. The incident forms sampled demonstrated that all incidents are reported to family/whanau.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were well informed about any changes to their/their relative’s status, were advised in a timely manner about any incidents or accidents or concerns and were very satisfied with the communication provided by staff.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No interpreters were required for current residents. Staff report they understand body language prompts from residents that are ‘non-verbal’, or use communication cards.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plan has current goals which are being monitored for progress by the manager (who is also the owner and director since 2013) and by the clinical manager.  The manager owns two aged related residential care (ARRC) facilities in Auckland, purchasing the second care home approximately four years ago. Both care homes provide rest home level care only and are of a similar size. The manager advises he visits both care homes daily including weekends. The manager is responsible for ensuring the day-to-day care needs of the residents at Alexander Lodge Rest Home are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has extensive clinical experience in aged care and has worked in this care home since prior to the current owner’s purchase. The CM works at least three days a week on site, a minimum of 20 hours – usually more, and is on call when not on site. Staff verified appropriate clinical advice and support is available at all times. The CM provides some education for staff at the managers other care home, working approximately four hours per week at that site. The clinical manager has evidence of current interRAI competency and ongoing education related to the role. The manager and the CM are attending education related to operating and managing age care facilities as confirmed by interview and records of attendance.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there have been no changes to the management team or services provided at Alexander Lodge Rest Home. Ongoing refurbishment of the facilities is occurring in a scheduled manner. The second RN employed at the last audit resigned in March 2021. The CM is covering all RN responsibilities while recruitment continues for another part time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owner/manager confirmed the service holds agreements with the DHB for rest home level care under the Age Related Residential Care Contract (ARRC), Respite Services, Long Term Support Chronic Health Conditions (LTS-CHC) and the Ministry of Health, Disability Support Services Outcome agreement for younger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two of the 23 available beds were occupied on the first day of the audit. Seventeen residents were receiving rest home level care under the ARCC contract. Four residents were under the age of 65 years and included residents receiving mental health services, and one resident is assessed as having long term chronic health conditions. There is one tenant living onsite who resides in a downstairs apartment. This person does not receive any services from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risk and business plans have current goals which are being monitored for progress by the manager and the CM. Regular reports on service delivery and organisational performance are shared with all staff at their regular monthly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Lodge Rest Home has a quality and risk management system which is understood and implemented by service providers. This is linked to the objectives and quality improvement plan and goals/objectives. The quality and risk programme includes compliments and complaints management, internal audits, satisfaction surveys, incident and accident reporting, hazard management, health and safety, restraint minimisation, infection control data collection and management. Regular internal audits are conducted, which cover relevant aspects of service including aspects of care including medication management, documentation, food services and the facility/equipment. Compliments received are documented and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readily available for staff in a paper-based manual. These have been developed by an external consultant and then reviewed and localised as required to reflect the needs of Alexander Lodge Rest Home. The clinical manager reviews the existing policy manuals annually and notes any changes required.  Amended or new policies are communicated to staff at staff meetings. The clinical manager is responsible for document control processes. Policies and procedures are discussed where applicable during orientation and the staff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satisfaction survey occurred in 2021. Six residents and/or family members provided feedback on the services and were very satisfied.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an issue or deficit is found, a corrective action is put in place to address the situation. Quality information is shared with all staff via shift handover as well as via the monthly staff meetings. The minutes of staff meetings are made available to staff. All staff interviewed confirmed they were kept informed of relevant quality and risk information including new or amended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hazards/risks are identified in the hazard register. The hazard register and mitigation strategies have been recently reviewed. Organisation risks are documented and reviewed at least annually or sooner where indicated. The manager and clinical manager discussed the issues related to the Covid-19 pandemic and the processes for ensuring they keep current with the frequent sector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adverse event reporting form. Events are reported and investigated, and actions taken in response. Neurological observations are not consistently occurring for residents following unwitnessed falls and this is an area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discussed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understands the requirements for essential notification reporting.  They advised there have been no section 31 notifications of significant events made to the Ministry of Health, or other regulatory body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and validation of qualifications and practising certificates (APCs), where required.  Most of the staff have worked in the care home since prior to the manager purchasing the facility. The newest staff member is personally known to the management team. As such, police vetting was not deemed to be required. A sample of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In response to the national Covid-19 alert levels in 2021, the clinical manager has been undertaking one on one education sessions with staff.  The two caregivers interviewed advised they have completed a level two industry approved qualification. In addition, there is a process of undertaking regular case reviews of residents that are new to the care home or have changing needs.  The responsibilities of information gathering are shared by the caregiving team and the clinical manager, and the results are included in the ongoing staff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maintaining annual competency to undertake interRAI assessments. Records reviewed verified the date of their required training and completion of ongoing competency (January 2022).</w:t>
            </w:r>
          </w:p>
          <w:p w:rsidR="00EB7645" w:rsidRPr="00BE00C7" w:rsidP="00BE00C7">
            <w:pPr>
              <w:pStyle w:val="OutcomeDescription"/>
              <w:spacing w:before="120" w:after="120"/>
              <w:rPr>
                <w:rFonts w:cs="Arial"/>
                <w:b w:val="0"/>
                <w:lang w:eastAsia="en-NZ"/>
              </w:rPr>
            </w:pPr>
            <w:r w:rsidRPr="00BE00C7">
              <w:rPr>
                <w:rFonts w:cs="Arial"/>
                <w:b w:val="0"/>
                <w:lang w:eastAsia="en-NZ"/>
              </w:rPr>
              <w:t>Applicable staff have current medicine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main caregivers shift is a 12-hour shift morning and night, with additional caregiver hours rostered to cover peak care requirements. Care staff are responsible for undertaking cleaning and laundry duties throughout the day and evening. Four hours are allocated weekdays for activities. The manager is responsible for maintenance activities and assists with meal preparation, and care giving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An afterhours on call roster is in place, with staff reporting that good access to advice is available when needed from both the manager and the clinical manager as required.  Care staff interviewed confirmed there were adequate staff available to complete the work allocated to them. Residents and family interviewed supported this. Observations and review of the lasts three-week roster cycle confirmed adequate staff cover has been provided. Staff confirmed replacement staff are obtained for all unplanned staff absence.</w:t>
            </w:r>
          </w:p>
          <w:p w:rsidR="00EB7645" w:rsidRPr="00BE00C7" w:rsidP="00BE00C7">
            <w:pPr>
              <w:pStyle w:val="OutcomeDescription"/>
              <w:spacing w:before="120" w:after="120"/>
              <w:rPr>
                <w:rFonts w:cs="Arial"/>
                <w:b w:val="0"/>
                <w:lang w:eastAsia="en-NZ"/>
              </w:rPr>
            </w:pPr>
            <w:r w:rsidRPr="00BE00C7">
              <w:rPr>
                <w:rFonts w:cs="Arial"/>
                <w:b w:val="0"/>
                <w:lang w:eastAsia="en-NZ"/>
              </w:rPr>
              <w:t>The staff first aid certificates were due for renew at the end of 2021. Due to Covid alert levels in place staff have not been able to complete this training. The manager has been liaising with an approved first aid provider to have an onsite training day scheduled and is awaiting confirmation of a date. In the interim, the clinical manager has discussed with staff an overview/response to key clinical emergency events as part of the November 2021 staff meetings, as per the meeting minutes sampled and staff interview.  The clinical manager is on call when not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on the management of the medication system. All medication files sampled confirmed that they were reviewed as required and discontinued medications were signed and dated by the GP. Allergies were documented, identification photos present and three-monthly reviews were completed. Medication charts were legibly written. The caregiver was observed administering medication correctly. </w:t>
            </w:r>
          </w:p>
          <w:p w:rsidR="00EB7645" w:rsidRPr="00BE00C7" w:rsidP="00BE00C7">
            <w:pPr>
              <w:pStyle w:val="OutcomeDescription"/>
              <w:spacing w:before="120" w:after="120"/>
              <w:rPr>
                <w:rFonts w:cs="Arial"/>
                <w:b w:val="0"/>
                <w:lang w:eastAsia="en-NZ"/>
              </w:rPr>
            </w:pPr>
            <w:r w:rsidRPr="00BE00C7">
              <w:rPr>
                <w:rFonts w:cs="Arial"/>
                <w:b w:val="0"/>
                <w:lang w:eastAsia="en-NZ"/>
              </w:rPr>
              <w:t>Medication reconciliation is conducted by the CM when a resident is transferred back to the service. The service uses pharmacy pre-packed packs that are checked by the CM on delivery. Monitoring of medicine fridge and room temperatures is conducted regularly and deviations from normal were reported and attended to promptly.</w:t>
            </w:r>
          </w:p>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was current and correct. Weekly, monthly and six-monthly stock takes were conducted, and all medications were stored appropriately. All expired medications were returned to the pharmacy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medicines at the time of the audit. Self-administration medication policy and the procedure is in place if/when required.</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of this were sighted. The medicines management system complies with legislation, protocols,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cook in the kitchen and is assisted by an experienced caregiver and facility manager (who is also the owner-director) when absent. There is an approved food plan for the service which expires on 20 June 2022. The menu was reviewed by a dietitian within the past two years. The menu appraisal evaluated the three weekly summer and winter cycle menus in consideration of the nutritional and required menu planning practices appropriate for older adults. The kitchen staff have current food handling certificates. Diets are modified as required and the cook confirmed awareness of the dietary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The residents’ weights were monitored regularly, and supplements were provided to residents with identified weight loss issues. Nutritional snacks are available for all residents 24 hours a day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of food, fridges, and freezers are maintained. Thermometer calibrations were completed every three months. The cook demonstrated a good understanding of the required reheating and chilling process.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carried out by the NASC agency. All residents’ assessments covered the physical, psycho-social, spiritual, and cultural aspects of each resident. Admission and interRAI assessments are completed utilising information gained from either the resident, the nominated family representative, referring agency and/or the previous provider of health, other health team members, observations and examinations carried out by the nursing team.</w:t>
            </w:r>
          </w:p>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plans sampled were detailed and care staff reported that interventions developed were easy to follow.  All outcomes from interRAI assessments and other additional assessments were identified and addressed in the care plans sampled.</w:t>
            </w:r>
          </w:p>
          <w:p w:rsidR="00EB7645" w:rsidRPr="00BE00C7" w:rsidP="00BE00C7">
            <w:pPr>
              <w:pStyle w:val="OutcomeDescription"/>
              <w:spacing w:before="120" w:after="120"/>
              <w:rPr>
                <w:rFonts w:cs="Arial"/>
                <w:b w:val="0"/>
                <w:lang w:eastAsia="en-NZ"/>
              </w:rPr>
            </w:pPr>
            <w:r w:rsidRPr="00BE00C7">
              <w:rPr>
                <w:rFonts w:cs="Arial"/>
                <w:b w:val="0"/>
                <w:lang w:eastAsia="en-NZ"/>
              </w:rPr>
              <w:t>In interviews conducted, family/whānau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appropriate to the needs, age, and culture of the residents. The activities coordinator develops an activity planner and daily/weekly activities are posted on the notice boards. Residents’ files have a documented activity plan that reflects the resident’s preferred activities of choice.  Throughout the audit, residents were observed being actively involved with a variety of activities. Activity plans are reviewed at least six monthly or when there is any significant change in participation, and this is done in consultation with the CM. The activities vary from scrabble, bingo, paper reading, trivia questions, hopscotch, music, movies, indoor fitness - Zumba, exercises/walking, and church services every weekend. The activities coordinator reported that they have group activities and engage in one-on-one activities with some residents. Activities are modified according to abilities and cognitive function.</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and community connections are suitable for the residents. There are regular outings/drives, for all residents (as appropriate). Residents and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caregivers are reported to the CM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care plan and interRAI assessment is evaluated, reviewed, and amended either when clinically indicated by a change in the resident’s condition or at least every six months whichever is earlier. The evaluation reflected the achievement of the set goals over the previous six months. The evaluations are carried out by the CM in conjunction with the care staff, family/whanau, residents, GP,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reviewed weekly or as indicated by the degree of risk noted during the assessment process.  </w:t>
            </w:r>
          </w:p>
          <w:p w:rsidR="00EB7645" w:rsidRPr="00BE00C7" w:rsidP="00BE00C7">
            <w:pPr>
              <w:pStyle w:val="OutcomeDescription"/>
              <w:spacing w:before="120" w:after="120"/>
              <w:rPr>
                <w:rFonts w:cs="Arial"/>
                <w:b w:val="0"/>
                <w:lang w:eastAsia="en-NZ"/>
              </w:rPr>
            </w:pPr>
            <w:r w:rsidRPr="00BE00C7">
              <w:rPr>
                <w:rFonts w:cs="Arial"/>
                <w:b w:val="0"/>
                <w:lang w:eastAsia="en-NZ"/>
              </w:rPr>
              <w:t>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(BWOF) which expires on 09 February 2022 was publicly displayed. The manager is responsible for ensuring the ongoing checks to maintain the BWOF is occurring. There have been no structural changes to the building since the previous audit. Some repainting and refurbishment of residents’ rooms, bathrooms and communal areas was occurring.</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changes to the approved fire evacuation scheme for the building (EVACP 05824-12) dated 26 April 2012. The most recent fire drill occurred on the 10 December 2021 and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Infection data is collected, monitored, and reviewed monthly. The data is collated and analysed by the CM to identify any significant trends or common possible causative factors. Results of the surveillance data are shared with staff during shift handovers, at monthly staff meetings, and management meetings. Evidence of completed infection control audits were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were informed of infections as they occur. The CM reported that the GP is informed on time when a resident has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Lodge Rest Home is maintaining its philosophy and practice of being a restraint free environment but has policies in the event that a restraint may be required. The restraint minimisation and safe practice policy contains definitions and information that is congruent with the requirements of this standard. It states that the only approved restraints would be lap belts and bed sides. Policy includes processes for assessment, approval and consent, monitoring and review, evaluation and staff training.</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restraints or enablers in use during this audit. The regular staff meeting includes discussions on restraint minimisation and confirmed that there has not been any restraints or enablers used in the preceding month. Care staff interviewed confirmed restraints and enablers have not been used for a ‘long time’.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10"/>
        <w:gridCol w:w="1280"/>
        <w:gridCol w:w="5220"/>
        <w:gridCol w:w="3367"/>
        <w:gridCol w:w="22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records from 2021 and 2022 reviewed showed that these were reported and followed up in a timely manner. A review of five unwitnessed fall reports demonstrates there is inconsistency in both the frequency and duration of neurological observations and at times neurological observations are not occurring. There are two post neurological monitoring forms available, and the monitoring timeframes specified are different on each form. The organisation’s policy does not provide clear guidance for staff on what is required.</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admitted to the DHB for inpatient services following another reported incident/event. Appropriate clinical care was sought for the resident at the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head injury management policy (December 2017) and the two versions of the neurological monitoring forms in use provides inconsistent information for staff on the neurological monitoring that is to occur post unwitnessed falls.  Neurological monitoring of residents post unwitnessed falls is not consistently occurring. When monitoring is occurring, there is variation in the frequency and duration.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Update the head injury management policy and associated monitoring form to provide clear guidance for staff on the required neurological monitoring of residents post unwitnessed falls, and ensure these requirements are consistently implemented for applicable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files sampled identified that initial assessments and initial care plans were resident centred, and these were completed within the required time frames. InterRAI assessments were completed within 21 days and based on this assessment and the staff’s observation of the resident, long-term care plans were also developed.</w:t>
            </w:r>
          </w:p>
          <w:p w:rsidR="00EB7645" w:rsidRPr="00BE00C7" w:rsidP="00BE00C7">
            <w:pPr>
              <w:pStyle w:val="OutcomeDescription"/>
              <w:spacing w:before="120" w:after="120"/>
              <w:rPr>
                <w:rFonts w:cs="Arial"/>
                <w:b w:val="0"/>
                <w:lang w:eastAsia="en-NZ"/>
              </w:rPr>
            </w:pPr>
            <w:r w:rsidRPr="00BE00C7">
              <w:rPr>
                <w:rFonts w:cs="Arial"/>
                <w:b w:val="0"/>
                <w:lang w:eastAsia="en-NZ"/>
              </w:rPr>
              <w:t>The interRAI report generated from the interRAI database demonstrated that reviews were not completed within the required timeframes for four (4) residents. The CM reported that these were being prioritised and the process of updating the overdue assessments had already commenced. All the other five (5) residents’ files reviewed demonstrated that the ongoing six-monthly evaluation process was completed as per policy requirements and these assessments reflected the resident's current status. Residents, family and care staff interviewed reported being involved in the care planning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(4) interRAI re-assessments that were generated from the interRAI database were not completed promptly with overdue time frames ranging from 2-18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interRAI assessments are completed within timeframes that safely meet the needs of the residents and ARCC contract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Chetty's Investment Limited - Alexander Lodge Rest Home</w:t>
    </w:r>
    <w:bookmarkEnd w:id="58"/>
    <w:r>
      <w:rPr>
        <w:rFonts w:cs="Arial"/>
        <w:sz w:val="16"/>
        <w:szCs w:val="20"/>
      </w:rPr>
      <w:tab/>
      <w:t xml:space="preserve">Date of Audit: </w:t>
    </w:r>
    <w:bookmarkStart w:id="59" w:name="AuditStartDate1"/>
    <w:r>
      <w:rPr>
        <w:rFonts w:cs="Arial"/>
        <w:sz w:val="16"/>
        <w:szCs w:val="20"/>
      </w:rPr>
      <w:t>28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