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Granger House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Granger House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2021</w:t>
      </w:r>
      <w:bookmarkEnd w:id="7"/>
      <w:r w:rsidRPr="009418D4">
        <w:rPr>
          <w:rFonts w:cs="Arial"/>
        </w:rPr>
        <w:tab/>
        <w:t xml:space="preserve">End date: </w:t>
      </w:r>
      <w:bookmarkStart w:id="8" w:name="AuditEndDate"/>
      <w:r w:rsidR="00A4268A">
        <w:rPr>
          <w:rFonts w:cs="Arial"/>
        </w:rPr>
        <w:t>3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Granger House Lifecare provides rest home and hospital level care including respite, end of life and care for people with long term conditions.  The service is operated by Heritage Lifecare Limited (HLL) and presently managed by a roving acting care home manager pending advertising to appoint a new manager. A new clinical services manager commenced two weeks prior to this certification audit. The service has been operating without a clinical services manager for some months and this role is now being re-established. Although there have been changes of management over recent months,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West Coast District Health Board (DHB) and the Ministry of Health (MoH). The audit process included review of policies and procedures, review of residents’ and staff files, inspection of the environment and interviews with residents, family members, managers, staff, visiting health providers and a nurse practitioner.  </w:t>
      </w:r>
    </w:p>
    <w:p w:rsidRPr="00A4268A">
      <w:pPr>
        <w:spacing w:before="240" w:line="276" w:lineRule="auto"/>
        <w:rPr>
          <w:rFonts w:eastAsia="Calibri"/>
        </w:rPr>
      </w:pPr>
      <w:r w:rsidRPr="00A4268A">
        <w:rPr>
          <w:rFonts w:eastAsia="Calibri"/>
        </w:rPr>
        <w:t xml:space="preserve">This audit has identified two areas requiring improvement relating to staffing and completing the upgrade of the environment and equipment.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Granger House Lifecare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 and bi-lingual staff.</w:t>
      </w:r>
    </w:p>
    <w:p w:rsidRPr="00A4268A">
      <w:pPr>
        <w:spacing w:before="240" w:line="276" w:lineRule="auto"/>
        <w:rPr>
          <w:rFonts w:eastAsia="Calibri"/>
        </w:rPr>
      </w:pPr>
      <w:r w:rsidRPr="00A4268A">
        <w:rPr>
          <w:rFonts w:eastAsia="Calibri"/>
        </w:rPr>
        <w:t>Granger House Lifecare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 xml:space="preserve">A complaints register is maintained. Information about the complaints process is provided at the time of admission and is available at the front entrance. The new management team now ensure complaints are being fully investigated and responded to in accordance with policy.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Strategic, business and quality and risk management plans have been developed for Heritage Lifecare Limited. These include the purpose, direction, goals, and values of the organisation. Regular monitoring of the services occurs, with analysis and regular reporting to the governing body monthly. An experienced and suitably qualified person is providing management cover to the facility.  </w:t>
      </w:r>
    </w:p>
    <w:p w:rsidRPr="00A4268A">
      <w:pPr>
        <w:spacing w:before="240" w:line="276" w:lineRule="auto"/>
        <w:rPr>
          <w:rFonts w:eastAsia="Calibri"/>
        </w:rPr>
      </w:pPr>
      <w:r w:rsidRPr="00A4268A">
        <w:rPr>
          <w:rFonts w:eastAsia="Calibri"/>
        </w:rPr>
        <w:t xml:space="preserve">The quality and risk management systems include collection and analysis of quality improvement data, identifies trends and leads to improvements. Staff are involved and feedback is regularly sought from residents and families. Adverse events are documented with corrective actions implemented where required. Actual and potential risks, including health and safety risks, are identified, managed, and mitigated.  Policies and procedures are centrally managed by HLL and are current to support service delivery to residents.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for all staff groups. Staffing levels and skill mix has been challenging with a shortage of registered nurses including, until recently, a clinical services manager.  </w:t>
      </w:r>
    </w:p>
    <w:p w:rsidRPr="00A4268A">
      <w:pPr>
        <w:spacing w:before="240" w:line="276" w:lineRule="auto"/>
        <w:rPr>
          <w:rFonts w:eastAsia="Calibri"/>
        </w:rPr>
      </w:pPr>
      <w:r w:rsidRPr="00A4268A">
        <w:rPr>
          <w:rFonts w:eastAsia="Calibri"/>
        </w:rPr>
        <w:t xml:space="preserve">Residents’ information is collected in hard copy and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admission to the facility is appropriate and efficiently managed with liaison evident between the Complex Clinical Care Network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and communication sheets promote continuity of care between the shifts in the rest home and hospital.</w:t>
      </w:r>
    </w:p>
    <w:p w:rsidRPr="00A4268A" w:rsidP="00621629">
      <w:pPr>
        <w:spacing w:before="240" w:line="276" w:lineRule="auto"/>
        <w:rPr>
          <w:rFonts w:eastAsia="Calibri"/>
        </w:rPr>
      </w:pPr>
      <w:r w:rsidRPr="00A4268A">
        <w:rPr>
          <w:rFonts w:eastAsia="Calibri"/>
        </w:rPr>
        <w:t>The planned activity programme is delivered by one part time diversional therapist and one full time activities assistant, spread across the two clinical areas. The rest home and hospital residents have a separate activities programme which provides a variety of individual and group activities and maintains the residents’ links with the community. There is a facility van available for outings.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There is food available for rest home and hospital residents 24 hours a day. Policies guide the food service delivery supported by staff with food safety qualifications. The kitchen was well organised, clean and meets food safety standards. Residents and families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comfortable. A major refurbishment and equipment upgrade is underway. There was a current building warrant of fitness displayed. Electrical and biomedical equipment has been tested as required. Communal and individual spaces are maintained at a comfortable temperature. External areas are accessible, safe and provide shade and seating for residents. </w:t>
      </w:r>
    </w:p>
    <w:p w:rsidRPr="00A4268A">
      <w:pPr>
        <w:spacing w:before="240" w:line="276" w:lineRule="auto"/>
        <w:rPr>
          <w:rFonts w:eastAsia="Calibri"/>
        </w:rPr>
      </w:pPr>
      <w:r w:rsidRPr="00A4268A">
        <w:rPr>
          <w:rFonts w:eastAsia="Calibri"/>
        </w:rPr>
        <w:t>Waste and hazardous substances are well managed. Staff use protective equipment and clothing where indicated. Chemicals are safely stored. Laundry is undertaken onsite and is collected and handled safely. Cleaning and laundry services are monitored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trial fire evacuations. There are adequate pandemic supplies on hand.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Five enablers were in use at the time of audit. Use of enablers is voluntary for the safety of residents in response to individual requests. Three restraints were also in use. A comprehensive assessment, approval and monitoring process with regular reviews occurs for all restraints.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principles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Covid-19 related processes are in place to manage the changes in the Ministry of Health Covid-19 response levels.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96"/>
        <w:gridCol w:w="1280"/>
        <w:gridCol w:w="92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Granger House Lifecare has policies, procedures, and processes in place to meet its obligations in relation to the Code of Health and Disability Services Consumers’ Rights (the Code). This is displayed throughout the facility in both English and Māori and residents receive a copy of this in the admission pack. Staff interviewed understood the requirements of the Code and were observed demonstrating respectful communication, encouraging independence, providing options, and maintaining dignity and privacy.  Training on the Code is compulsory for all staff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Advance care planning, establishing, and documenting enduring power of attorney requirements and processes for residents is defined and documented, as relevant, in the resident’s record.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service are on display in the reception area of the facility. Family members and residents spoken to were aware of the Advocacy Service, how to access this and their rights to have a support person. Staff are also aware of how to access the Advocacy Service if this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as current Covid-19 restrictions allow. The facility encourages visits from family and friends and family members interviewed stated they felt welcome when they visited and comfortable in their dealings with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which are part of the HHL system meet the requirements of Right 10 of the Code. Information on the complaint process is provided to residents and families on admission.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have been received since March 2021. Actions had been documented for one of these complaints through to an agreed resolution under the new management team. This team demonstrate their understanding of requirements and have implemented complaints management in accordance with the organisation’s policy. A previous complaint had no resolution recorded. Documentation for two others could not be located in the manual system, to confirm that timeframes and outcomes had been met. The staff involved are no longer employed in the facility and no further information could be located.  However, the most recent complaint has been appropriately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is responsible for complaints management and follow up. The temporary roving care home manager has been filling the management role for two months and no complaints have been received in this period. The processes were well understood and described.  One action plan reviewed showed required follow up and improvement, including training has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a sound understanding of the complaint process and what actions are required. There is one outstanding Health and Disability Commissioner (HDC) complaint on behalf of the coroner for both Granger House and another agency. Information has been provided and the service is presently awaiting follow up from the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family/whānau of Granger House Lifecare, reported being made aware of the Code and the Nationwide Health and Disability Advocacy Service (Advocacy Service) as part of the admission information provided and from discussion with staff.  The Code is displayed in English and Māori at the reception and throughout the facility and each resident has a copy of this in the admission folder. Information on how to make a complaint and provide feedback is available and displayed in the reception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understand the need to maintain privacy and were observed doing so throughout the audit when attending to the personal cares of residents, by ensuring resident information is held securely and privately, when exchanging verbal information and during discussion with families. All residents have a private room with communal facilities nine rooms have private ensuite facilities. There are several lounges located throughout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activities within the facility and outside in the community as Covid-19 allows.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one resident at Granger House Lifecare that identifies as Māori.  Staff receive annual education to enable them to support residents who do identify as Māori to integrate their cultural values and beliefs. The principals of the Treaty of Waitangi are incorporated into day-to-day practice, as is the importance of whānau. There is a current Māori health plan and guidance on tikanga best practice is available. There are staff who identify as Māori in the facility and can act as a resource.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verified that they were consulted on their individual culture, values and beliefs and that staff respected these. Staff can access an external interpreter service for residents if required and several staff members are bi-lingual. Residents’ personal preferences required interventions and special needs were included in all care plans that were reviewed. For example, likes and dislikes and attention to preferences around activities of daily living. Residents’ survey results evidenced that the residents’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residents were free from discrimination, harassment or exploitation and felt safe. One of the facility nurse practitioners who was interviewed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and encourages good practice, this is demonstrated through evidence-based policies, input from external specialist services and allied health professionals, for example, palliative care, district nurses, dieticians, podiatrist, and education for staff. The NP confirmed that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they receive management support for external education and access their own professional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they are advised in a timely manner about any incidents or accidents and the outcomes of regular or urgent medical reviews. This was clearly documented in the residents’ records that were reviewed. There was also evidence of resident/family input into the care planning process and the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principals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an interpreter should this be required, and several staff members are bi-lingual.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HLL strategic and operational plans are regularly reviewed at national level, and these are implemented locally. The current Granger House quality plan outlines three key goals to be achieved during the year. These goals relate to the refurbishment of the facility, falls prevention and establishing stable staffing. A sample of weekly/monthly and quarterly reports were reviewed and confirmed that clinical indicators and non-clinical performance is routinely monitored and reported to the board of directors. Adequate information is provided including financial performance, emerging risks, and service issues. Operational performance reports (sent to the HLL support office) were viewed and included details such as occupancy, staffing reports, complaints, incidents/adverse events, infections and restraint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presently managed by a roving care home manager, who initially provided cover for the vacant position of clinical services manager, but more recently has covered the care home manager responsibilities pending advertising for this role. The temporary manager has four years’ experience in similar roles and holds relevant nursing qualifications. Short term responsibilities and accountabilities were described and there is a job description and individual employment agreement developed for the recent appointment to the care manager role. Two regional managers present and interviewed during the audit (the regional quality manager and operations manager) confirmed that support is provided for the roles, including for the new clinical services manager. The care home manager confirmed knowledge of the sector, the regulatory and reporting requirements and maintains currency through regular input by the HLL management team, professional networks, and external training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West Coast DHB for aged residential care, respite, complex medical conditions, and palliative care. There are no ACC or YPD residents presently residing at Granger House. Sixty-two residents were receiving services under these contracts on the days of audit – 36 hospital level care and 26 rest home level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HLL has a national infrastructure that provides cover during extended absences for both the clinical and the care manager. The temporary care home manager has been on site for approximately nine weeks at the time of the audit and the recruitment phase for the role is commencing. Regional managers provide additional support for the service during the recruitment, appointment, and orientation phase for new managers.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internal audit activities, a regular care home satisfaction survey, monitoring of outcomes, clinical incidents including infections and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internal meetings are held, either on a monthly or quarterly basis. These include staff meetings, registered nurse, resident, household and quality/infection control/health and safety and restraint meetings. A sample of minutes were reviewed for these and confirmed discussion and reporting of clinical indicators including complaints are recorded. Staff reported their involvement in quality and risk management activities through internal audit activities, and changes in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any shortfalls. Care home customer experience surveys are completed annually, the most recent being June/July 2021. This includes net promotor scores for the service.  Results are benchmarked across HLL. The most recent survey showed Granger House is below the benchmark for management of complaints and concerns and for its meal service. Since then, a further specific survey has been undertaken to explore meal service satisfaction, and this continues to be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Policies are based on best practice and were current, following a major review which commenced in December 2020. The document control system ensures a systematic and regular review process, referencing of relevant sources, approval, distribution, and removal of obsolete documents. Granger House has hard copy policy manuals readily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recent ‘catch up’ of the scheduled internal audits, mostly achieving 100% compliance with only a few minor deficiencies noted. HLL undertake a facility health check in the period leading up to an external audit. This has been useful in providing the management team with a quality workplan, which is progressing according to the priorities and risk ratings applied.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and processes are in place for the identification, monitoring, review and reporting of risks, including health and safety hazards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at the staff and quality meetings.  Summary results are collated by the care home manager, entered into the electronic system (eCase) and sent to the HLL head office each month. Hard copy reports were completed and signed off, including any follow up actions required.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essential notification reporting requirements, including for pressure injuries. Since July 2021, there have been nine Section 31 notices submitted to the Ministry of Health for a variety of events including registered nurse shortages, episodes of resident aggression, (including one resulting in injury involving police intervention), self-harm incidents and a stage three facility acquired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twelve staff records reviewed confirmed the organisation’s policies are being consistently implemented and both hard copy and electronic records are maintained for staff.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by HLL throughout the year, including mandatory training requirements. Staff report opportunistic in house ‘toolbox’ sessions are a frequent occurrence on topics of interest. Care staff have either completed or commenced a New Zealand Qualification Authority education programme to meet the requirements of the provider’s agreement with the DHB. Presently there is no staff member who is a designated internal assessor for the programme, however the roving care manager is qualified to undertake this. Plans are underway to ensure assessment needs can be met internally.</w:t>
            </w:r>
          </w:p>
          <w:p w:rsidR="00EB7645" w:rsidRPr="00BE00C7" w:rsidP="00BE00C7">
            <w:pPr>
              <w:pStyle w:val="OutcomeDescription"/>
              <w:spacing w:before="120" w:after="120"/>
              <w:rPr>
                <w:rFonts w:cs="Arial"/>
                <w:b w:val="0"/>
                <w:lang w:eastAsia="en-NZ"/>
              </w:rPr>
            </w:pPr>
            <w:r w:rsidRPr="00BE00C7">
              <w:rPr>
                <w:rFonts w:cs="Arial"/>
                <w:b w:val="0"/>
                <w:lang w:eastAsia="en-NZ"/>
              </w:rPr>
              <w:t>There are two trained and competent nurses who are maintaining their annual competency requirements to undertake interRAI assessments. One RN has almost completed the assessment, and the clinical services manager is booked to commence in January 2022. Three assessments were overdue, but scheduled, and a further one is underway.</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including clinical skills and a buddy. Staff records reviewed showed documentation of completed orientation and a performance review after a three and six-month period and annually thereafter. Appraisals are up to date except for two scheduled for December. Twelve staff records reviewed confirmed the organisation’s policies are being consistently implemented and records are adequately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Most recently, this has involved relocating hospital level care residents to be concentrated in one wing of the facility, to help maximise the registered nurse cover. Although the whole facility offers ‘swing beds’, there are presently only four of 36 hospital level care residents remaining in other areas of the facility and as able, they will also be moved into this area. Hospital level care admissions are presently on hold.</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shared between the roving manager and the clinical services manager. Registered nurses cover all shifts with staff reporting that good access to advice is available when needed. Residents and family members interviewed supported this. Review of a four two-week roster cycles dating back to August 2021 confirmed most shifts are covered, or if necessary, staff will do a longer shift to provide adequate cover. Where unfilled gaps appeared on the roster, a further check was made with the payroll system to confirm whether these shifts had been claimed. With three exceptions, this had occurred. Casual staff may be used to cover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NP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They are held for the required period of time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Granger House Lifecare following assessment from the Complex Clinical Care Network, as requiring the levels of care that Granger House Lifecare provides. Prospective residents and their families are encouraged to visit the facility prior to admission and are provided with written information about the service and the admission process. All residents are admitted to the facility in accordance with current MoH Covid-19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 service uses the DHB ‘Yellow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signs in the medications against the prescription.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All registered nurses are competent with syringe drivers.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NP review was consistently recorded on the medicine chart. There were no standing orders or verbal orders. Vaccines are not stored on site. Residents have received the required Covid-19 vaccines except for those who did not want to be vaccinated.</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any residents self-medicating. This is decided in conjunction with the NP, RN and the resident. Self-medication documentation is completed by the GP and a copy is placed in the notes. At the time of the audit there were two residents self-medicating in the 18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is in line with recognised nutritional guidelines for older people. The menu follows summer and winter patterns and was reviewed by a qualified dietician in November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(valid until 17 January 2022). At the time of the audit, the kitchen was observed to be clean. The cleaning schedule was maintained. Food temperatures, including for high-risk items, are monitored, and recorded as part of the plan using a paper base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families/whānau interviews, satisfaction surveys and in residents’ meeting minutes. There are a selection of snacks and sandwiches for residents 24 hours a day.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the Complex Clinical Care Network, there is a process in place to ensure that the prospective resident and family are supported to find an appropriate level of care. Examples of this occurring were discussed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the Complex Clinical Care Network and a new placement is found in consultation with the resident and the whānau/family.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at Granger House Lifecare are assessed using a range of nursing assessment tools, such as, a pain scale, falls risk, skin integrity, cognition and behaviour, nutrition, and activities, to identify any deficits and to inform initial care planning. Within three weeks of admission, residents are accessed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the RNs are familiar with requirements for reassessment of a resident using the interRAI assessment tool when a resident has increasing or changing needs. All residents have current interRAI assessments completed by one of the trained interRAI assessors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Granger House Lifecare are paper based. The files reviewed reflected the support needs of the residents, and the outcomes of the integrated assessment process and other relevant clinical information.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documented, informative and relevant.  Any change in care required was documented and verbally passed on to relevant staff. Residents and family/whānau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NP interviewed confirmed that medical orders are carried out in a timely manner and staff are very proactive at contacting the NP should a resident’s condition change. Medical orders are followed, and residents care is of a high standard. Care staff confirmed that care was provided as outlined in the documentation and they have the opportunity for input into care planning.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 such as pressure relieving devices.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part time qualified diversional therapist who works in conjunction with a full-time activity’s assistant. They support the rest home and hospital residents Monday to Friday 8.00 am till 4.00 pm Monday to Friday. Activities and movies are available for the residents at the weekends with the support of the carers.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are evaluated and form part of a six-monthly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identifies as Māori, and they are greeted in their native tongue and support is given for activities culturally appropriate for them. It is the aim of the diversional therapists to get the residents engaging in the community as much as possible. There is a facility van available for drives in accordance with current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prior to the Covid-19 restrictions. There is individual, group and gender specific activities for female and male residents. Hospital and rest home residents have a separate activity programme but come together for some of the group activities. There are several lounge areas, as well as the individual’s bedrooms where they have the opportunity to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activities co-ordinator and by completing the six-monthly resident satisfaction survey and the six monthly multi-disciplinary meeting.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Formal care plan evaluations occur every six months in conjunction with the six monthly interRAl reassessment and the multi-disciplinary team meeting,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are indicated or requested, the NP sends a referral to seek specialist input. Copies of referrals were sighted in the residents’ files. The resident and the family/whānau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follow documented processes for the management of waste and infectious and hazardous substances. Appropriate signage is displayed where necessary. There is no designated chemical handler as chemical quantities are low. </w:t>
            </w:r>
          </w:p>
          <w:p w:rsidR="00EB7645" w:rsidRPr="00BE00C7" w:rsidP="00BE00C7">
            <w:pPr>
              <w:pStyle w:val="OutcomeDescription"/>
              <w:spacing w:before="120" w:after="120"/>
              <w:rPr>
                <w:rFonts w:cs="Arial"/>
                <w:b w:val="0"/>
                <w:lang w:eastAsia="en-NZ"/>
              </w:rPr>
            </w:pPr>
            <w:r w:rsidRPr="00BE00C7">
              <w:rPr>
                <w:rFonts w:cs="Arial"/>
                <w:b w:val="0"/>
                <w:lang w:eastAsia="en-NZ"/>
              </w:rPr>
              <w:t>An external company is contracted to supply and manage all chemicals and cleaning products and they also provide relevant training for staff. Material safety data sheets were available where chemicals are stored and used, including the laundry. Staff interviewed knew what to do should any chemical spill/event occur. A spill kit is available in the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this correctly.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July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A major refurbishment is underway, including bathroom improvements where non-intact surfaces, and worn carpets were noted. (Refer CAR 1.4.2.4).  Old and damaged equipment is being replaced, commencing with seven new electric beds to replace those that are no longer functional. A full repaint is planned for one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electrical equipment and calibration of bio medical equipment was current as confirmed in documentation reviewed, interviews with maintenance personnel and observation of the environment. The environment was hazard free and resident safety was promoted.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ensuites for most of the hospital wing rooms.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safely around within their bedrooms. Rooms in the hospital are generally larger to facilitate use of mobility aids, hoists and two staff. There is a double room awaiting admission for a married couple. Bedrooms otherwise provide single accommodation.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space to store mobility aids and wheelchairs. Several residents have mobility scooters; however, these are generally stored safely away from foot and wheelchair traffic.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throughout the facility for residents to engage in activities of their choosing. The dining and lounge areas are spacious and enable easy access for residents and staff. Residents can access areas for privacy, if required. Furniture is appropriate to the setting and residents’ needs. Some furniture replacement is underway including bedside tables (Refer 1.4.2.4).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cleaning team who have received appropriate training and provide facility cleaning over the seven-day period. These staff are experienced and understand the correct principles of cleaning in a health care facility. Chemicals are provided by a contracted company who also provide regular chemical training for staff.  Chemicals were stored in a lockable cupboard in the cleaning rooms and were in appropriately labelled containers. Refilling occurs using a closed system. </w:t>
            </w:r>
          </w:p>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area. Family members also undertake personal laundry if they wish.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the annual care home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systems were displayed and known to staff. Disaster and civil defence planning guides direct the facility in their preparation for disasters and described the procedures to be followed in the event of a fire or other emergency. The care home manager has attended meetings with the DHB to plan for local emergencies and disasters, including pandemic planning.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Fire and Emergency New Zealand FENZ) in 2012. However, the regional manager reports that an application is underway to FENZ for this to be updated and for checks on the system to be included in this. Trial fire evacuation takes place six-monthly with a copy sent to the New Zealand Fire Service, the most recent being on September 2021 and March 2021. The orientation programme includes fire and security training. Staff confirmed their awareness of the emergency procedures. First aid certificates are held by senior staff rostered in the facility and for the diversional therapists and maintenance personnel who take residents off site.</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for at least two weeks, a 5000-litre potable water tank, blankets, mobile phones and two generators which meets the National Emergency Management Agency recommendations for the region. Emergency lighting is regularly tested. There are adequate and well organised pandemic supplies on hand.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The older system does not allow call bell response times to be checked, however staff were observed to respond promptly. Delays in call bell responses had featured in a complaint earlier in the year, but residents and family spoken to during the audit did not identify any current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with the facility locked down at night. Presently the facility has one entry point to manage visitors during Covid-19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electrically heated and ventilated appropriately. Rooms have natural light and opening external windows. There are a variety of sheltered spots for residents to sit outside as they wish, including a designated smoking area. Heating is provided by electric thermostatically controlled wall mounted heaters in residents’ rooms and in the communal areas. Areas were warm and well ventilated throughout the audit and reported to be maintained at a comfortable temperature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Granger House implements an infection prevention and control programme to minimise the risk of infection to residents, staff, and visitors. A comprehensive and current infection control manual is available to staff and managers. There is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designated infection prevention and control co-ordinator, whose role and responsibilities are defined in a job description. Infection control matters, including surveillance results, are reported monthly and reviewed at the monthly quality committee meetings. Infection prevention and control matters are also discussed at registered nurse meetings, staff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 with a documented process for each of the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the appropriate skills, knowledge, and qualifications for the role. Additional support and information can be accessed from the infection control team at the DHB, the community laboratory, the NP and the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which details all the actions required by the service streams within the facility in response to each of the alert levels. The ICN and the quality manager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and clearly documented on each policy is the next review date.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Granger House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policies and procedures meet the requirements of the restraint minimisation and safe practice standards and provide guidance on the safe use of both restraints and enablers. The RN restraint coordinator, who has been in the role for two months, provides support and oversight for enabler and restraint management in the facility. The restraint coordinator demonstrated a sound understanding of the organisation’s policies, procedures and practices including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were using restraints. Five residents were using enablers. These were the least restrictive and used voluntarily at the residents’ requests. A similar process is followed for the use of enablers as is used for restraints. Restraints approved for use include a fall out chair and bed rails.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and when the resident is unable to consent to their use, to support safe care. This was evident on review of the restraint group minutes, files reviewed, observation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group are responsible for the approval of the use of restraints and the restraint processes. It was evident from review of restraint meeting minutes, residents’ files, and interviews with the coordinator that there are clear lines of accountability, that all restraints have been approved, and the overall use of restraints is being monitored and analysed. All restraints presently used have been approved and have been reviewed over an extended period.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 person with enduring power of attorney (EPOA) involvement in the decision making was on file in each case. Use of a restraint or an enabler is part of the documented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each restraint were documented and included all requirements of the standard. </w:t>
            </w:r>
          </w:p>
          <w:p w:rsidR="00EB7645" w:rsidRPr="00BE00C7" w:rsidP="00BE00C7">
            <w:pPr>
              <w:pStyle w:val="OutcomeDescription"/>
              <w:spacing w:before="120" w:after="120"/>
              <w:rPr>
                <w:rFonts w:cs="Arial"/>
                <w:b w:val="0"/>
                <w:lang w:eastAsia="en-NZ"/>
              </w:rPr>
            </w:pPr>
            <w:r w:rsidRPr="00BE00C7">
              <w:rPr>
                <w:rFonts w:cs="Arial"/>
                <w:b w:val="0"/>
                <w:lang w:eastAsia="en-NZ"/>
              </w:rPr>
              <w:t>The RN undertakes the initial assessment with the restraint coordinator’s involvement, as well as input from the resident’s family/whānau or person with enduring power of attorney. The RN interviewed/restraint coordinator described the documented process. The general practitioner or nurse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(eg, the use of sensor mats (initiated from admission and assessed for continued use), low beds and floor mattresses).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and has recently been improved with the introduction of a new more detailed monitoring form. Access to advocacy is provided if requested and all processes during restraint use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group meeting. The register was reviewed and contained all residents currently using a restraint and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keep people using restraint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group meetings. Family members interviewed did not have a resident presently using a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whether the policy and procedure was followed and completion of the documentation.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six-monthly review of all restraint use, which includes meeting the requirements of the standard, is undertaken. Six monthly restraint meetings and regular reports are completed. Individual use of restraint use is reported to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meetings reviewed confirmed this included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A six-monthly internal audit also informs these meetings. Any changes made by HLL to policies, guidelines, education, and processes are implemented as required. Data reviewed, minutes and interviews with staff and the coordinator confirmed that the use of restraint has remained static over several months.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5592"/>
        <w:gridCol w:w="3837"/>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in place to staff all areas of the facility.  However, staffing levels have been under pressure in recent months for a combination of reasons including but not limited to: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Four staff are on long term ACC and are unable to be permanently replaced.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Difficulty recruiting RNs in the region has resulted in a temporary moratorium on further hospital level care admissions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w:t>
              <w:tab/>
              <w:t>Hospital level care residents have been relocated to the hospital wing to maximise registered nurse cover into one area.</w:t>
            </w:r>
          </w:p>
          <w:p w:rsidR="00EB7645" w:rsidRPr="00BE00C7" w:rsidP="00BE00C7">
            <w:pPr>
              <w:pStyle w:val="OutcomeDescription"/>
              <w:spacing w:before="120" w:after="120"/>
              <w:rPr>
                <w:rFonts w:cs="Arial"/>
                <w:b w:val="0"/>
                <w:lang w:eastAsia="en-NZ"/>
              </w:rPr>
            </w:pPr>
            <w:r w:rsidRPr="00BE00C7">
              <w:rPr>
                <w:rFonts w:cs="Arial"/>
                <w:b w:val="0"/>
                <w:lang w:eastAsia="en-NZ"/>
              </w:rPr>
              <w:t>-</w:t>
              <w:tab/>
              <w:t>The service has consistently been reflecting more hours delivered than budgeted, however, this is necessary to reflect the extended layout and available skill mix.</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One RN has resigned and is due to finish the week following audit, adding further pressure to the roster. A registered nurse is due to return from maternity leave 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February 2022.</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indicated the need to work longer hours or more shifts than usually rostered.  Care staff reported that the acuity has increased in the hospital area with more residents moved to the area (eg, a greater number of hoist transfers requiring two people are now more concentrated in this area), and at times they struggled to complete the work allocated to them. Additional resource was not always available. Although staff report feeling tired, there have been no additional workplace injuries recorded over recent months. The care home manager and clinical services manager will, if necessary, cover the morning roster shift to ensure safe staffing. Afternoon and night shifts were fully covered by RNs in the roster sample.</w:t>
            </w:r>
          </w:p>
          <w:p w:rsidR="00EB7645" w:rsidRPr="00BE00C7" w:rsidP="00BE00C7">
            <w:pPr>
              <w:pStyle w:val="OutcomeDescription"/>
              <w:spacing w:before="120" w:after="120"/>
              <w:rPr>
                <w:rFonts w:cs="Arial"/>
                <w:b w:val="0"/>
                <w:lang w:eastAsia="en-NZ"/>
              </w:rPr>
            </w:pPr>
            <w:r w:rsidRPr="00BE00C7">
              <w:rPr>
                <w:rFonts w:cs="Arial"/>
                <w:b w:val="0"/>
                <w:lang w:eastAsia="en-NZ"/>
              </w:rPr>
              <w:t>Some mitigation strategies are in place to manage this effectively and reduce the risks; however, it will take time for the service to be fully staffed with an appropriate skill mix. Recruitment efforts are continuing, including for a care home manager, RNs, and caregivers.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staffing levels remain challenging, with ongoing difficulties recruiting registered nurses in the region. Together with gaps between appointments of clinical services manager and a recruitment process underway for the care home manager, temporary arrangements are in place utilising an HLL roving care home manager. Further efforts are needed to successfully recruit and retain staff to ensure safe and sustainable staffing levels. Staffing levels and skill mix remains a risk for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Continue to successfully implement recruitment efforts to ensure sustainable safe staffing levels and skill mix.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embarked on major refurbishment of the environment at Granger House. While planning is underway, funds allocated and quotes obtained, the programme will take some months to complete to ensure a safe environment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includes but is not limited to: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Replacing worn and stained carpet and vinyl, </w:t>
            </w:r>
          </w:p>
          <w:p w:rsidR="00EB7645" w:rsidRPr="00BE00C7" w:rsidP="00BE00C7">
            <w:pPr>
              <w:pStyle w:val="OutcomeDescription"/>
              <w:spacing w:before="120" w:after="120"/>
              <w:rPr>
                <w:rFonts w:cs="Arial"/>
                <w:b w:val="0"/>
                <w:lang w:eastAsia="en-NZ"/>
              </w:rPr>
            </w:pPr>
            <w:r w:rsidRPr="00BE00C7">
              <w:rPr>
                <w:rFonts w:cs="Arial"/>
                <w:b w:val="0"/>
                <w:lang w:eastAsia="en-NZ"/>
              </w:rPr>
              <w:t>-</w:t>
              <w:tab/>
              <w:t>repairing doorways and walls damaged from wheelchairs and other equipment,</w:t>
            </w:r>
          </w:p>
          <w:p w:rsidR="00EB7645" w:rsidRPr="00BE00C7" w:rsidP="00BE00C7">
            <w:pPr>
              <w:pStyle w:val="OutcomeDescription"/>
              <w:spacing w:before="120" w:after="120"/>
              <w:rPr>
                <w:rFonts w:cs="Arial"/>
                <w:b w:val="0"/>
                <w:lang w:eastAsia="en-NZ"/>
              </w:rPr>
            </w:pPr>
            <w:r w:rsidRPr="00BE00C7">
              <w:rPr>
                <w:rFonts w:cs="Arial"/>
                <w:b w:val="0"/>
                <w:lang w:eastAsia="en-NZ"/>
              </w:rPr>
              <w:t>-</w:t>
              <w:tab/>
              <w:t>upgrading bathroom floors and walls to ensure surfaces are intact to maintain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w:t>
              <w:tab/>
              <w:t>The programme to replace older equipment including electric beds throughout and dining tables in one wing.</w:t>
            </w:r>
          </w:p>
          <w:p w:rsidR="00EB7645" w:rsidRPr="00BE00C7" w:rsidP="00BE00C7">
            <w:pPr>
              <w:pStyle w:val="OutcomeDescription"/>
              <w:spacing w:before="120" w:after="120"/>
              <w:rPr>
                <w:rFonts w:cs="Arial"/>
                <w:b w:val="0"/>
                <w:lang w:eastAsia="en-NZ"/>
              </w:rPr>
            </w:pPr>
            <w:r w:rsidRPr="00BE00C7">
              <w:rPr>
                <w:rFonts w:cs="Arial"/>
                <w:b w:val="0"/>
                <w:lang w:eastAsia="en-NZ"/>
              </w:rPr>
              <w:t>-            Heat pumps to maintain stable temperatures in the medication rooms</w:t>
            </w:r>
          </w:p>
          <w:p w:rsidR="00EB7645" w:rsidRPr="00BE00C7" w:rsidP="00BE00C7">
            <w:pPr>
              <w:pStyle w:val="OutcomeDescription"/>
              <w:spacing w:before="120" w:after="120"/>
              <w:rPr>
                <w:rFonts w:cs="Arial"/>
                <w:b w:val="0"/>
                <w:lang w:eastAsia="en-NZ"/>
              </w:rPr>
            </w:pPr>
            <w:r w:rsidRPr="00BE00C7">
              <w:rPr>
                <w:rFonts w:cs="Arial"/>
                <w:b w:val="0"/>
                <w:lang w:eastAsia="en-NZ"/>
              </w:rPr>
              <w:t>This is work in progress which has only just commenced, with seven new beds installed.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Work is underway to improve safety of the physical environment for residents as part of a major refurbishment in older parts of the facility. This will take some months to fully complete.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the planned improvements designed to create a safe environment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Granger House Lifecare</w:t>
    </w:r>
    <w:bookmarkEnd w:id="58"/>
    <w:r>
      <w:rPr>
        <w:rFonts w:cs="Arial"/>
        <w:sz w:val="16"/>
        <w:szCs w:val="20"/>
      </w:rPr>
      <w:tab/>
      <w:t xml:space="preserve">Date of Audit: </w:t>
    </w:r>
    <w:bookmarkStart w:id="59" w:name="AuditStartDate1"/>
    <w:r>
      <w:rPr>
        <w:rFonts w:cs="Arial"/>
        <w:sz w:val="16"/>
        <w:szCs w:val="20"/>
      </w:rPr>
      <w:t>2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