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Palmerston Manor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Palmerston Manor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November 2021</w:t>
      </w:r>
      <w:bookmarkEnd w:id="7"/>
      <w:r w:rsidRPr="009418D4">
        <w:rPr>
          <w:rFonts w:cs="Arial"/>
        </w:rPr>
        <w:tab/>
        <w:t xml:space="preserve">End date: </w:t>
      </w:r>
      <w:bookmarkStart w:id="8" w:name="AuditEndDate"/>
      <w:r w:rsidR="00A4268A">
        <w:rPr>
          <w:rFonts w:cs="Arial"/>
        </w:rPr>
        <w:t>16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Palmerston Manor Lifecare is owned and operated by Heritage Lifecare Limited and provides rest home and hospital level care for up to 48 residents. There is a care home manager (CHM) and a clinical services manager (CSM), both of whom are registered nurses.  </w:t>
      </w:r>
    </w:p>
    <w:p w:rsidRPr="00A4268A">
      <w:pPr>
        <w:spacing w:before="240" w:line="276" w:lineRule="auto"/>
        <w:rPr>
          <w:rFonts w:eastAsia="Calibri"/>
        </w:rPr>
      </w:pPr>
      <w:r w:rsidRPr="00A4268A">
        <w:rPr>
          <w:rFonts w:eastAsia="Calibri"/>
        </w:rPr>
        <w:t>Since that last audit there has been a change in home manager. There have been no changes to the facility. Residents and family members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contracts with the district health board and Ministry of Health. The audit process included review of policies and procedures, review of residents’ and staff files, observations and interviews with residents, family members, managers, staff, and a nurse practitioner</w:t>
      </w:r>
    </w:p>
    <w:p w:rsidRPr="00A4268A">
      <w:pPr>
        <w:spacing w:before="240" w:line="276" w:lineRule="auto"/>
        <w:rPr>
          <w:rFonts w:eastAsia="Calibri"/>
        </w:rPr>
      </w:pPr>
      <w:r w:rsidRPr="00A4268A">
        <w:rPr>
          <w:rFonts w:eastAsia="Calibri"/>
        </w:rPr>
        <w:t xml:space="preserve">A strength of the organisation is the work undertaken by the new care home manager, supported by the clinical services manager, in reviewing the processes in place and completing corrective actions when deficits were found. There are no areas for improvement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occurring.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family members. Adverse events are documented with corrective actions implemented. Actual and potential risks, including health and safety risks, are identified and mitigated. Policies and procedures supporting service delivery are in place.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delivered in a manner that provides continuity and promotes a team approach for the care of the residents. There are policies and procedures in place, which support assessment, planning, provision of care, evaluation, and transfers for residents. These safely meet their needs and the facility’s contractual obligations. The multidisciplinary team includes a care home manager, clinical services manager, registered nurses, and a facility nurse practitioner who assess the needs of the resident on admission. Care plans are individualised, and resident focused with interRAI assessments completed. Files reviewed demonstrated the care provided and the needs of the residents are reviewed and evaluated in a timely manner.</w:t>
      </w:r>
    </w:p>
    <w:p w:rsidRPr="00A4268A" w:rsidP="00621629">
      <w:pPr>
        <w:spacing w:before="240" w:line="276" w:lineRule="auto"/>
        <w:rPr>
          <w:rFonts w:eastAsia="Calibri"/>
        </w:rPr>
      </w:pPr>
      <w:r w:rsidRPr="00A4268A">
        <w:rPr>
          <w:rFonts w:eastAsia="Calibri"/>
        </w:rPr>
        <w:t>The service provides a planned activity programme which has a variety for individual and group activities and maintains links with the community as COVID-19 allows.</w:t>
      </w:r>
    </w:p>
    <w:p w:rsidRPr="00A4268A" w:rsidP="00621629">
      <w:pPr>
        <w:spacing w:before="240" w:line="276" w:lineRule="auto"/>
        <w:rPr>
          <w:rFonts w:eastAsia="Calibri"/>
        </w:rPr>
      </w:pPr>
      <w:r w:rsidRPr="00A4268A">
        <w:rPr>
          <w:rFonts w:eastAsia="Calibri"/>
        </w:rPr>
        <w:t>The medication policy is in line with current best practice for medication management and the staff who administer the medications are competent in medication management.</w:t>
      </w:r>
    </w:p>
    <w:p w:rsidRPr="00A4268A" w:rsidP="00621629">
      <w:pPr>
        <w:spacing w:before="240" w:line="276" w:lineRule="auto"/>
        <w:rPr>
          <w:rFonts w:eastAsia="Calibri"/>
        </w:rPr>
      </w:pPr>
      <w:r w:rsidRPr="00A4268A">
        <w:rPr>
          <w:rFonts w:eastAsia="Calibri"/>
        </w:rPr>
        <w:t>The onsite kitchen meets the nutritional needs of the residents and there is food available 24 hours of the day. Residents with specific dietary requirements and likes and dislikes are well catered for. The service has a four-week rotating menu which has been approved by a registered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When used, these are voluntary for the safety of residents in response to individual requests. One restraint was in use.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led by an experienced and trained infection control nurse and aims to prevent and manage infections. The infection control policy identifies current best practice for infection control management. Aged care specific infection surveillance is undertaken, data is collated monthly and presented at the quality meeting, registered nurse meeting and general staff meeting. Staff demonstrated good principals and practice around infection control, which is guided by relevant policies and supported with regular education.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5"/>
        <w:gridCol w:w="1280"/>
        <w:gridCol w:w="100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is under review. The process meets the requirements of the Health and Disability Commissioner’s Code of Health and Disability Services Consumers’ Rights (the Code), Right 10. Information on the complaint process is provided to residents and families on admission and those interviewed knew how to do so.  Forms to give feedback are available at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11 complaints have been received since the beginning of this year and that actions taken, through to an agreed resolution, are documented and completed within the timeframes required in the Code. Action plans showed any required follow up and improvements have been made where possible. The care home manager (CHM) is responsible for complaints management and follow up. All staff interviewed confirmed an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DHB panning and integrity manager requested follow up on a complaint in August 2020. The CSM reported the issue had been resolved with good relationships with the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interpreters’ policy which includes how to access these services. There are also a number of staff who have English as a second language who can support with interpretation if required.  Staff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plans 2021, outline five goals which are reported on quarterly. Review of the quarterly reporting showed adequate information to monitor performance is reported including financial, residents, quality, clinical, health and safety and staff, which allows for identification of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(CHM), who is a registered nurse (RN) and has held positions in aged care since coming to New Zealand in 2018. They are supported by a clinical services manager (CSM) who has been in the service for six years, and the regional operations manager. Responsibilities and accountabilities are defined in a job description and individual employment agreement. The CHM confirmed knowledge of the sector, regulatory and reporting requirements and maintains currency through meetings with the DHB and the New Zealand Aged Care Association weekly updates.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for hospital and rest home services, palliative care, and long term services for patients with chronic health conditions (LTS-CHC). There is also a contract with the MoH for younger persons with a non-aged residential care with physical/intellectual disability (YPD). The facility can accommodate up to 48 residents. Forty-two residents were receiving services under the contracts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24 hospital level care, including one YPD and one long term support for chronic health conditions </w:t>
            </w:r>
          </w:p>
          <w:p w:rsidR="00EB7645" w:rsidRPr="00BE00C7" w:rsidP="00BE00C7">
            <w:pPr>
              <w:pStyle w:val="OutcomeDescription"/>
              <w:spacing w:before="120" w:after="120"/>
              <w:rPr>
                <w:rFonts w:cs="Arial"/>
                <w:b w:val="0"/>
                <w:lang w:eastAsia="en-NZ"/>
              </w:rPr>
            </w:pPr>
            <w:r w:rsidRPr="00BE00C7">
              <w:rPr>
                <w:rFonts w:cs="Arial"/>
                <w:b w:val="0"/>
                <w:lang w:eastAsia="en-NZ"/>
              </w:rPr>
              <w:t>• 18 rest home level care, including one YPD.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management policy, which is currently under review (2018-2020). Quality reporting is part of the business plan quarterly reporting. The system reflected the principles of continuous quality improvement. This included, the management of incidents and complaints, audit activities, a regular patient satisfaction survey, clinical incidents, including infections, and continuous quality activities when issues are identified that require action to be taken. </w:t>
            </w:r>
          </w:p>
          <w:p w:rsidR="00EB7645" w:rsidRPr="00BE00C7" w:rsidP="00BE00C7">
            <w:pPr>
              <w:pStyle w:val="OutcomeDescription"/>
              <w:spacing w:before="120" w:after="120"/>
              <w:rPr>
                <w:rFonts w:cs="Arial"/>
                <w:b w:val="0"/>
                <w:lang w:eastAsia="en-NZ"/>
              </w:rPr>
            </w:pPr>
            <w:r w:rsidRPr="00BE00C7">
              <w:rPr>
                <w:rFonts w:cs="Arial"/>
                <w:b w:val="0"/>
                <w:lang w:eastAsia="en-NZ"/>
              </w:rPr>
              <w:t>Linked to the quality system are a number of committees:</w:t>
            </w:r>
          </w:p>
          <w:p w:rsidR="00EB7645" w:rsidRPr="00BE00C7" w:rsidP="00BE00C7">
            <w:pPr>
              <w:pStyle w:val="OutcomeDescription"/>
              <w:spacing w:before="120" w:after="120"/>
              <w:rPr>
                <w:rFonts w:cs="Arial"/>
                <w:b w:val="0"/>
                <w:lang w:eastAsia="en-NZ"/>
              </w:rPr>
            </w:pPr>
            <w:r w:rsidRPr="00BE00C7">
              <w:rPr>
                <w:rFonts w:cs="Arial"/>
                <w:b w:val="0"/>
                <w:lang w:eastAsia="en-NZ"/>
              </w:rPr>
              <w:t>•</w:t>
              <w:tab/>
              <w:t>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w:t>
              <w:tab/>
              <w:t>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w:t>
              <w:tab/>
              <w:t>Quality</w:t>
            </w:r>
          </w:p>
          <w:p w:rsidR="00EB7645" w:rsidRPr="00BE00C7" w:rsidP="00BE00C7">
            <w:pPr>
              <w:pStyle w:val="OutcomeDescription"/>
              <w:spacing w:before="120" w:after="120"/>
              <w:rPr>
                <w:rFonts w:cs="Arial"/>
                <w:b w:val="0"/>
                <w:lang w:eastAsia="en-NZ"/>
              </w:rPr>
            </w:pPr>
            <w:r w:rsidRPr="00BE00C7">
              <w:rPr>
                <w:rFonts w:cs="Arial"/>
                <w:b w:val="0"/>
                <w:lang w:eastAsia="en-NZ"/>
              </w:rPr>
              <w:t>•</w:t>
              <w:tab/>
              <w:t>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w:t>
              <w:tab/>
              <w:t>Kitchen</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Cleaning </w:t>
            </w:r>
          </w:p>
          <w:p w:rsidR="00EB7645" w:rsidRPr="00BE00C7" w:rsidP="00BE00C7">
            <w:pPr>
              <w:pStyle w:val="OutcomeDescription"/>
              <w:spacing w:before="120" w:after="120"/>
              <w:rPr>
                <w:rFonts w:cs="Arial"/>
                <w:b w:val="0"/>
                <w:lang w:eastAsia="en-NZ"/>
              </w:rPr>
            </w:pPr>
            <w:r w:rsidRPr="00BE00C7">
              <w:rPr>
                <w:rFonts w:cs="Arial"/>
                <w:b w:val="0"/>
                <w:lang w:eastAsia="en-NZ"/>
              </w:rPr>
              <w:t>•</w:t>
              <w:tab/>
              <w:t>Restraint</w:t>
            </w:r>
          </w:p>
          <w:p w:rsidR="00EB7645" w:rsidRPr="00BE00C7" w:rsidP="00BE00C7">
            <w:pPr>
              <w:pStyle w:val="OutcomeDescription"/>
              <w:spacing w:before="120" w:after="120"/>
              <w:rPr>
                <w:rFonts w:cs="Arial"/>
                <w:b w:val="0"/>
                <w:lang w:eastAsia="en-NZ"/>
              </w:rPr>
            </w:pPr>
            <w:r w:rsidRPr="00BE00C7">
              <w:rPr>
                <w:rFonts w:cs="Arial"/>
                <w:b w:val="0"/>
                <w:lang w:eastAsia="en-NZ"/>
              </w:rPr>
              <w:t>The minutes reviewed from these groups confirmed regular review and analysis of quality indicators and that related information is reported and discussed.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The CHM has identified areas for improvement since taking over this role in June and has developed corrective actions and implemented these to address shortfalls, for example, residents’ and family members’ issues with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by head office. The most recent survey showed that of 46 surveys sent out, 17 responses had been received (11 relatives and six residents). The results showed an average of 70 percent agreed or strongly agreed with the questions with areas such as food and activities identifying a level of dissatisfaction. The CHM agreed this was not a satisfactory result and has put in place corrective action processes for food and activities and stated resurveying would occur before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all generated from head office and those reviewed cover aspects of the service and contractual requirements, including reference to the interRAI Long Term Care Facility (LTCF) assessment tool and process. Policies are based on best practice. The document control system ensures a systematic and regular review process, referencing of relevant sources, approval, distribution and removal of obsolete documents. The sample of policies reviewed identified that some were out of date and under review. This was confirmed by the clinical quality person, at head office, who stated 15 percent are overdue for review. They have reduced the number overdue from 268 to 25 and have a plan to have the rest completed by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have a business risk register and a health and safety risk register. The CHM described the processes for the identification, monitoring, review and reporting of health and safety risks and development of mitigation strategies at Palmerston Manor Lifecare.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which are reviewed by an RN and entered onto ‘E-care’. The E-care register showed 132 accidents/incident have been reported since January 2020. A sample of incidents reviewed showed these were fully completed, incidents were investigated, action plans developed and actions followed-up in a timely manner. Adverse event data is collated, analysed and identify any areas of risk, for example, 86 falls being reported this year.  Incidents are reported to senior management.</w:t>
            </w:r>
          </w:p>
          <w:p w:rsidR="00EB7645" w:rsidRPr="00BE00C7" w:rsidP="00BE00C7">
            <w:pPr>
              <w:pStyle w:val="OutcomeDescription"/>
              <w:spacing w:before="120" w:after="120"/>
              <w:rPr>
                <w:rFonts w:cs="Arial"/>
                <w:b w:val="0"/>
                <w:lang w:eastAsia="en-NZ"/>
              </w:rPr>
            </w:pPr>
            <w:r w:rsidRPr="00BE00C7">
              <w:rPr>
                <w:rFonts w:cs="Arial"/>
                <w:b w:val="0"/>
                <w:lang w:eastAsia="en-NZ"/>
              </w:rPr>
              <w:t>The CHM described essential notification reporting requirements, including for pressure injuries. They advised there have been no notifications of significant events made to the Ministry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All health professionals (GP, NP, RNs, podiatrist, dietitian, pharmacists and diversional therapist) have current APCs.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including competency assessments. Staff reported that the orientation process prepared them well for their role. Staff records reviewed showed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Not all planned education has been able to be carried out due to COVID-19 and staff turnover. However, a corrective action process related to this area shows that the catch up is progressing well.</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(NZQA) education programme to meet the requirements of the provider’s agreement with the DHB. The CNM is the internal assessor for the programme and provided evidence of health care assistants’ (HCAs) NZQA levels.</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RNs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‘Roster and Time Sheet’ policy and the CSM spoke of how they implemented a process for determining staffing levels and skill mixes to provide safe service delivery, 24 hours a day, seven days a week (24/7). The facility adjusts staffing levels to meet the changing needs of residents. For example, with the reduced number of residents, a short morning duty is not being filled. Afterhours, the CHM and CSM are on call, with staff reporting that good access to advice is available when needed. Care staff reported there were adequate staff available to complete the work allocated to them, but they feel ‘stretched’. There were some examples where staff were working extra duties to ensure adequate cover. The CHM stated they continue to advertise for HCAs and have two new RNs commencing before the end of the year.</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supported that staff were available for cares. Observations and review of a four-week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signs in the medications against the prescription.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All registered nurses are competent with syringe drivers.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NP review was consistently recorded on the medicine chart. There are no standing orders or verbal orders. Vaccines are not stored on site. Residents have received the required COVID-19 vaccines with “catch-up” sessions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any residents who are self-medicating. This is decided in conjunction with the nurse practitioner, registered nurse and the resident. Self-medication documentation is completed by the NP and a copy is placed in the notes. At the time of the audit there were no residents self-medicating.</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is in line with recognised nutritional guidelines for older people. The menu follows summer and winter patterns and was reviewed by a qualified dietician in May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Palmerston North City Council. At the time of the audit, the kitchen was observed to be clean. The cleaning schedule was maintained. Food temperatures, including for high-risk items, are monitored, and recorded as part of the plan using a paper base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some residents’ dissatisfaction with meals was verified by residents and families/whānau interviews, satisfaction surveys and in residents’ meeting minutes. This has been identified by the CHM and a corrective action plan has been put in place to work with the residents and kitchen to ensure the residents’ needs are being met. There are snacks available twenty hours a day for residents with a selection of fruit, baking and trays of sandwiches also made.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NP interviewed confirmed that medical orders are carried out in a timely manner and staff are very proactive at contacting the NP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full time qualified diversional therapist who supports the rest home and hospital residents Monday to Friday 9.00am till 4.00pm. Activities are left set up for the residents over the weekend with the assistance of the care staff.</w:t>
            </w:r>
          </w:p>
          <w:p w:rsidR="00EB7645" w:rsidRPr="00BE00C7" w:rsidP="00BE00C7">
            <w:pPr>
              <w:pStyle w:val="OutcomeDescription"/>
              <w:spacing w:before="120" w:after="120"/>
              <w:rPr>
                <w:rFonts w:cs="Arial"/>
                <w:b w:val="0"/>
                <w:lang w:eastAsia="en-NZ"/>
              </w:rPr>
            </w:pPr>
            <w:r w:rsidRPr="00BE00C7">
              <w:rPr>
                <w:rFonts w:cs="Arial"/>
                <w:b w:val="0"/>
                <w:lang w:eastAsia="en-NZ"/>
              </w:rPr>
              <w:t>An activities assessment is completed on admission to ascertain the resident’s needs, interests, abilities, and social requirements. Activities assessments are regularly reviewed to help formulate a plan that is meaningful to the resident. The activities are evaluated by daily observation to review levels of participation, and this is documented once a month by individual in the progress notes and forms part of a six-monthly multidisciplinary care plan reviews. For those residents under a YPD contract, activities appropriate to age are encouraged, for example, music and visiting pets.</w:t>
            </w:r>
          </w:p>
          <w:p w:rsidR="00EB7645" w:rsidRPr="00BE00C7" w:rsidP="00BE00C7">
            <w:pPr>
              <w:pStyle w:val="OutcomeDescription"/>
              <w:spacing w:before="120" w:after="120"/>
              <w:rPr>
                <w:rFonts w:cs="Arial"/>
                <w:b w:val="0"/>
                <w:lang w:eastAsia="en-NZ"/>
              </w:rPr>
            </w:pPr>
            <w:r w:rsidRPr="00BE00C7">
              <w:rPr>
                <w:rFonts w:cs="Arial"/>
                <w:b w:val="0"/>
                <w:lang w:eastAsia="en-NZ"/>
              </w:rPr>
              <w:t>A resident who identifies as Māori took the opportunity to teach common words in te reo and support is given for activities culturally appropriate for them as COVID-19 allows. It is the aim of the diversional therapist to encourage the residents to engage in the community as much as possible. There is a facility van available for drives on a Wednesday for rest home and hospital residents and twice weekly pre-covid.</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Hospital and rest home residents have the same activity programme. There are several lounge areas, as well as the individual’s bedrooms where they have the opportunity to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can evaluate the programme through day-to-day discussions with the diversional therapist and by completing the six-monthly resident satisfaction survey, at the monthly residents meeting and six monthly multi-disciplinary meeting. Residents interviewed confirmed the programme was interesting and varied.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Formal care plan evaluations occur every six months in conjunction with the six monthly interRAI reassessment and the multi-disciplinary team meeting,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and weight loss, and progress evaluated as clinically indicated and according to the degree of risk noted during the assessment process. Other plans, such as wound management plans, were evaluated each time the dressings were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30 June 2022) was publicly displayed. All checks related to the BWoF are being undertaken. There had been no changes to the facility that require a new fire evacuation plan and monitoring of equipment is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Palmerston Manor Lifecare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The CSM is the restraint coordinator and provides support and oversight for enabler and restraint management in the facility. They understands their role and responsibility, which is documented in a job description.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restraints. The use of restraint was the least restrictive process to keep the resident safe. No residents had enablers in use. A similar process is followed for the use of enablers as is used for restraints.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Review of the restraint group meeting minutes and the resident’s file showed restraint was being monitored and used only when required and was reviewed on an ongoing basis.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the difference between a restraint and an enabler and stated they received training related to this area.</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Palmerston Manor Lifecare</w:t>
    </w:r>
    <w:bookmarkEnd w:id="58"/>
    <w:r>
      <w:rPr>
        <w:rFonts w:cs="Arial"/>
        <w:sz w:val="16"/>
        <w:szCs w:val="20"/>
      </w:rPr>
      <w:tab/>
      <w:t xml:space="preserve">Date of Audit: </w:t>
    </w:r>
    <w:bookmarkStart w:id="59" w:name="AuditStartDate1"/>
    <w:r>
      <w:rPr>
        <w:rFonts w:cs="Arial"/>
        <w:sz w:val="16"/>
        <w:szCs w:val="20"/>
      </w:rPr>
      <w:t>16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