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Mayfair Lifecare (2008) Limited - Mayfair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Mayfair Lifecare (2008)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Mayfair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September 2021</w:t>
      </w:r>
      <w:bookmarkEnd w:id="7"/>
      <w:r w:rsidRPr="009418D4">
        <w:rPr>
          <w:rFonts w:cs="Arial"/>
        </w:rPr>
        <w:tab/>
        <w:t xml:space="preserve">End date: </w:t>
      </w:r>
      <w:bookmarkStart w:id="8" w:name="AuditEndDate"/>
      <w:r w:rsidR="00A4268A">
        <w:rPr>
          <w:rFonts w:cs="Arial"/>
        </w:rPr>
        <w:t>28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Mayfair Lifecare is part of the Arvida aged care residential group. The service provides hospital (medical and geriatric) and rest home level care for up to 86 residents, including rest home level care in 23 serviced apartments. On the day of audit, there were 66 residents in total. The residents, relatives and general practitioner commented positively on the care and services provided at Mayfair Retirement Village.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Services Standards and the contract with the district health board. The audit process included the review of policies and procedures, the review of resident and staff files, observations, and interviews with relatives, management, staff, and the general practitioner. </w:t>
      </w:r>
    </w:p>
    <w:p w:rsidRPr="00A4268A">
      <w:pPr>
        <w:spacing w:before="240" w:line="276" w:lineRule="auto"/>
        <w:rPr>
          <w:rFonts w:eastAsia="Calibri"/>
        </w:rPr>
      </w:pPr>
      <w:r w:rsidRPr="00A4268A">
        <w:rPr>
          <w:rFonts w:eastAsia="Calibri"/>
        </w:rPr>
        <w:t xml:space="preserve">The village manager (non-clinical) is temporarily overseeing the operations at Mayfair Lifecare since May 2021 whilst a new village manager is appointed. This role is supported by a clinical manager who has experience in aged care. </w:t>
      </w:r>
    </w:p>
    <w:p w:rsidRPr="00A4268A">
      <w:pPr>
        <w:spacing w:before="240" w:line="276" w:lineRule="auto"/>
        <w:rPr>
          <w:rFonts w:eastAsia="Calibri"/>
        </w:rPr>
      </w:pPr>
      <w:r w:rsidRPr="00A4268A">
        <w:rPr>
          <w:rFonts w:eastAsia="Calibri"/>
        </w:rPr>
        <w:t>This audit identified an improvement required around progress notes entries.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rights of the resident and/or their family to make a complaint is understood, respected, and upheld by the service.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organisation's philosophy, aims, values and quality objectives are documented. </w:t>
      </w:r>
    </w:p>
    <w:p w:rsidRPr="00A4268A">
      <w:pPr>
        <w:spacing w:before="240" w:line="276" w:lineRule="auto"/>
        <w:rPr>
          <w:rFonts w:eastAsia="Calibri"/>
        </w:rPr>
      </w:pPr>
      <w:r w:rsidRPr="00A4268A">
        <w:rPr>
          <w:rFonts w:eastAsia="Calibri"/>
        </w:rPr>
        <w:t>The quality management systems included incident/accident reporting, risk management, resident and staff satisfaction surveys, restraint minimisation, and infection control data collection. Appropriate policies and procedures are available for staff reference.</w:t>
      </w:r>
    </w:p>
    <w:p w:rsidRPr="00A4268A">
      <w:pPr>
        <w:spacing w:before="240" w:line="276" w:lineRule="auto"/>
        <w:rPr>
          <w:rFonts w:eastAsia="Calibri"/>
        </w:rPr>
      </w:pPr>
      <w:r w:rsidRPr="00A4268A">
        <w:rPr>
          <w:rFonts w:eastAsia="Calibri"/>
        </w:rPr>
        <w:t xml:space="preserve">Quality activities are conducted, and this generates improvements in practice and service delivery. Meetings are held to discuss quality and risk management processes. An annual resident/relative satisfaction survey is completed and there are regular resident/relative newsletters. Health and safety policies, systems and processes are implemented to manage risk. Incidents and accidents are reported and followed through. Human resources are managed in accordance with good employment practice. An orientation programme is in place for new staff. An education and training programme has been implemented with a current training plan in place. A roster provides sufficient and appropriate coverage for the effective delivery of care and support.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Qualified nurses and senior caregivers responsible for administration of medicines complete annual education and medication competencies. The medicine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Mayfair Lifecare had a current building warrant of fitness. There had been no changes made to the building since the last audit. There is an approved fire evacuation plan and an annual maintenance plan that includes testing of equipment. The internal and external environment is safe and appropriate for the residents.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and safe use policy and associated procedures includes definitions that comply with the standard. Staff are provided with training on restraints and enablers during orientation and the ongoing staff training/competency assessment programme. There were no residents with a restraint or enabler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Specialist infection prevention and control advice is accessed when needed. Covid-19 screening declarations and signing in at reception are in place to monitor visitors and contractors.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Complaints forms are in a visible location at the entrance to the facility and in each unit. The village manager maintains a record of all complaints, both verbal and written. There have been five complaints logged since the previous audit. Two complaints made in 2019 (since the last audit) and three complaints received in 2020. No complaints have been received in 2021 year to date. The complaints reviewed were well documented with evidence of appropriate follow-up actions taken. Documentation including follow-up conversations and resolution, demonstrates that complaints are being managed in accordance with guidelines set by the Health and Disability Commissioner (HDC). A complaint made through HDC in March 2020 is currently being investigated and is still open. An HDC letter received in August 2021 requested more information as part of the investigation process. The service proactively commenced corrective actions in April 2020. Corrective actions relate to clinical documentation and education. Discussions with residents and relatives confirmed they were provided with information on complaints and complaints forms. Interviews with thirteen staff (two registered nurses, one chef, eight caregivers and two wellness leaders) confirmed their understanding of the complaint processes in relation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regular meetings with the residents to discuss any concerns that they may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complaints procedures and the policy and process around open disclosure alert staff to their responsibility to notify family/next of kin of any accident/incident and ensure full and frank open disclosure occurs. Ten incidents/accidents forms selected for review indicated that family/whānau were informed where required. Four residents interviewed (two hospital including a younger person with disabilities and two rest home level of care) stated they were welcomed on entry and were given time and explanation about the services and procedures. The young person with disabilities (YPD) stated she can choose her routine and the ways she maintains her community links. Two relatives (two hospital) interviewed stated that they are kept informed when their family member’s health status changes. A monthly newsletter is produced for residents and relatives keeping them informed on facility matters and activities. An interpreter policy and contact details of interpreters is available. The residents and family are informed prior to entry of the scope of services and any items they have to pay for that are not covered by the agreement. A site-specific introduction document provides information for family, friends, and visitors to the facility. Family members interviewed stated they receive information related to Covid-19 prevention strategies including limited visiting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Mayfair Lifecare is owned and operated by the Arvida group. The service provides care for 86 residents, 63 care beds and 23 serviced apartments. On the day of audit, there were 66 residents in total, 34 rest home level care, including 8 in the serviced apartments, and 32 hospital level care residents, including five in the dual-purpose rooms in the  Randolph (rest home) wing. All residents except one resident (YPD hospital resident in Cressy wing) are on the aged related residential care contract (ARRC). There are no double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are used for rest home residents only. There are the eight dual-purpose rooms situated in the Randolph wing (28 rooms) and are close to the hospital wing (and near both nurses’ stations).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interim transition village manager (non-clinical) who also manages another Arvida facility and has been in the role (interim role) since May 2021 and in a management role within Arvida for seven years. She divided her time between the two facilities but confirmed that she spent the majority of her time (five mornings Monday to Fridays) at the current facility. The previous village manager was in the role for five years. At the time of the audit the new village manager was already appointed to the role with a scheduled start date. She is supported by an experienced clinical manager who has been in the position since August 2019, having previously worked in aged care and the DHB. The village manager and clinical manager are supported by the national leader of wellness and care and the national quality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Mayfair lifecare has a business plan 2020/2021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completed in excess of eight hours of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Mayfair Lifecare which is designed to monitor contractual and standards compliance. There is a 2020/2021 business/strategic plan that includes quality goals and risk management plans. There is an established culture of seeking to continually review and analyse data to improve resident outcomes. The village manager and clinical manager are responsible for providing oversight of the quality and risk management system on site, which is also monitored at organisational level. Interviews with staff confirmed that there is discussion about quality data at various facility meetings. Arvida Group policies are reviewed at least every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bi-monthly quality improvement and three-monthly clinical/RN meetings. Residents/relatives are surveyed to gather feedback on the service provided and the outcomes are communicated to residents, staff, and families. The February 2021 resident/relative satisfaction survey overall result shows customer satisfaction and customer loyalty rate (a net promoter score of 35). Improvements were identified around the food service and a corrective action plan; this is ongoing. Resident/family meetings occur two-monthly,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that is regularly reviewed. Risk management, hazard control and emergency policies and procedures are being implemented and are monitored by the health and safety committee at the monthly meeting. There are also monthly national health and safety meetings conducted online through ‘Team’ meetings. The village manager and clinical manager are part of the health and safety committee. Hazard identification forms and an up-to-date hazard register is in place. The service had weekly meetings during Covid-19 throughout the alert levels. Falls prevention strategies are implemented including identifying residents at higher risk of falling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follow-up of residents. Ten incident forms reviewed for August 2021 demonstrated that appropriate clinical follow-up and investigation occurred following incidents. Neurological observation forms were documented and completed for three reviewed unwitnessed falls or potential head injuries. Discussions with the village manager confirmed that there is an awareness of the requirement to notify relevant authorities in relation to essential notifications. There has been one section 31 notification made since the previous audit for a stage 3 pressure injury. A section 31 notification was made on the last day of the audit to notify the Ministry of Health of the change of manager. One notification made to the public health service for a gastro outbreak in July 2019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be completed to validate the individual’s qualifications, experience, and veracity. Five staff files were reviewed (one clinical manager, one RN, two caregivers and one food services manager). There is evidence that reference checks were completed before employment was offered. Annual staff appraisals were evident in all staff files reviewed. A copy of practising certificates and competencies is kept. The service has an orientation programme in place that provides new staff with relevant information for safe work practice. Completed orientation, post-orientation interviews are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2020 has been completed and the plan for 2021 is being implemented. Discussions with the caregivers and RNs confirmed that Altura online training is available and implemented by staff. More than eight hours of staff development or in-service education has been provided annually. There are seven RNs at Mayfair Lifecare and five have completed interRAI training. The village manager, clinical manager and RNs are able to attend external training, including sessions provided by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HDC complaint all registered nurses completed training related to pain management, documentation and observation and wound and pressure injury management in April to June 2021. All registered nurses and two Wellness Leaders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44 caregivers in total with 27 having achieved a National Certificate. Eighteen have achieved level 4, and nine have achieved level 3. Competencies completed by staff included medication, insulin, wound care, manual handling, hand hygiene, syringe driver and restraint, there was an up-to-date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Mayfair Lifecare policy includes staff rationale and skill mix.  Sufficient staff are rostered on to manage the care requirements of the residents. The service has a total of 73 staff in various roles. Staffing rosters were sighted and there is staff on duty to match needs of different shifts. The new appointed village manager will work 40 hours per week from Monday to Friday and are available on call after hours. In addition to the village manager, the clinical manager works five days a week (Monday to Friday), there is at least one RN on at any one time. The RN on each shift is aware that extra staff can be called on for increased resident requirements. Interviews with staff, residents and family members confirmed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‘paperwork’ days once a week to catch up with interRAI assessments and care planning.</w:t>
            </w:r>
          </w:p>
          <w:p w:rsidR="00EB7645" w:rsidRPr="00BE00C7" w:rsidP="00BE00C7">
            <w:pPr>
              <w:pStyle w:val="OutcomeDescription"/>
              <w:spacing w:before="120" w:after="120"/>
              <w:rPr>
                <w:rFonts w:cs="Arial"/>
                <w:b w:val="0"/>
                <w:lang w:eastAsia="en-NZ"/>
              </w:rPr>
            </w:pPr>
            <w:r w:rsidRPr="00BE00C7">
              <w:rPr>
                <w:rFonts w:cs="Arial"/>
                <w:b w:val="0"/>
                <w:lang w:eastAsia="en-NZ"/>
              </w:rPr>
              <w:t>Across the two hospital wings Cressy and Seymour (27 hospital residents including one YPD and five rest home residents), there is one RN on duty in the morning and one RN afternoon and the night shift. They are supported by six caregivers; (one senior caregiver and three caregivers 7.30 am to 4.30 pm, one caregiver 7.00 am to 1.00 pm, and one caregiver 7.00 am to 1.30 pm) on the morning shift. The afternoon shift has five caregivers (two from 4.30pm to 11.30pm and two from 4pm to 10pm and one from 4.30pm to 9pm). Night shift has two caregivers’ midnight to 7am.</w:t>
            </w:r>
          </w:p>
          <w:p w:rsidR="00EB7645" w:rsidRPr="00BE00C7" w:rsidP="00BE00C7">
            <w:pPr>
              <w:pStyle w:val="OutcomeDescription"/>
              <w:spacing w:before="120" w:after="120"/>
              <w:rPr>
                <w:rFonts w:cs="Arial"/>
                <w:b w:val="0"/>
                <w:lang w:eastAsia="en-NZ"/>
              </w:rPr>
            </w:pPr>
            <w:r w:rsidRPr="00BE00C7">
              <w:rPr>
                <w:rFonts w:cs="Arial"/>
                <w:b w:val="0"/>
                <w:lang w:eastAsia="en-NZ"/>
              </w:rPr>
              <w:t>In the Randolph rest home wing (21 rest home residents and five hospital residents), there is one RN on duty on the morning shift. Senior caregivers (medicine competent) covering Monday to Sundays on PM and night shift with the support from the hospital RN. They are supported by three caregivers; (7am to 3pm, and one caregiver 7.30am to 3.30pm and one 7.30am-1.30pm) on the morning shift. Two caregivers in the afternoon shift (one 3.30 pm to 11.30 pm and one caregiver 4pm to 9pm).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(eight rest home residents) have a separate roster with one senior caregiver (medication competent) on duty on the morning 7am to 3.45 pm) Monday to Sunday, supported by one caregiver 7am to 1.30pm. The afternoons have one senior caregiver 3.30 pm to 11.30 pm, and one 4.30 pm to 9 pm, one medication competent caregiver is on nightshift. The apartments are a wing off the main rest home/hospital. The nurses’ station is in close proximity to the serviced apartment wing and registered nurses oversee the residents in the apartments.  All senior caregivers are medicine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Wellness leaders (activities) are allocated to the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medication room (hospital). Clinical staff who administer medications (RNs and senior caregivers) have been assessed for competency on an annual basis and attend annual medication education. Registered nurses have completed syringe driver training with the hospice. All medication (blister packs) are checked on delivery against the electronic medication system medication charts by two RNs.  The bulk supply order for hospital level residents have expiry dates and stock levels checked monthly.  There were no residents self-medicating on the day of the audit. The medication fridge and room temperature are checked as per policy, and temperatures are maintained within the acceptable temperature range. All eye drops sighted in the medication trolleys were dated on opening.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chef/kitchen manager. All meals and baking are prepared and cooked on site by qualified chefs who are supported by cook assistants, morning, and afternoon kitchenhands. All food services staff have completed food safety training. The Arvida seasonal menu is reviewed twice yearly and includes resident preferences. The main meal is the lunch meal. Buffet breakfasts are in place in line with the Arvida Living Well model. The cook receives resident dietary profiles and notified of any dietary changes for residents. Dislikes and special dietary requirements are accommodated including food allergies and gluten free diets. The menu provides pureed/soft meals. The kitchen is adjacent to the main dining room and meals are plated in the kitchen and served to residents in the rest home and hospital dining rooms. Meals are delivered in the bain-marie to the serviced apartments kitchenette for serving.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is current and expires 14 June 2022. Freezer, fridge and end-cooked, reheating (as required), cooling and serving temperatures are taken and recorded daily. The dishwasher rinse and wash temperatures are taken and recorded.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kitchen manager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Caregivers and RNs sign a care activity worklog with scheduled tasks and monitoring charts including repositioning, bowel chart, behaviour chart, food and fluid chart, weight, blood pressure monitoring, blood sugar levels, neurological observations, and toileting regime. Monitoring charts are utilised. Family are notified of any changes to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maps, photos and wound measurements were reviewed on eCase for ten residents with wounds (skin tears, chronic lesion, and venous ulcers). There were two pressure injuries on the day of audit (one stage two and one stage three). When wounds require a change of dressing, this is scheduled on the RN daily schedule. There is access to the wound nurse specialists at Nurse Maude and the plastics department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wellness leaders, one is a qualified diversional therapist who works full-time and has been in the role for more than five years. She is supported by two full-time wellness leaders that also covers weekends.</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integrated (rest home including serviced apartments and hospital residents) from Monday to Friday. During the different Covid-19 risk levels each unit have a separate programme. Residents receive a copy of the programme which has set daily activities and additional activities, entertainers, outings, movies, sports on TV and resident led activities. There are two main areas for activities which are identified on the programme as the main lounge and the gallery which has been set up where activities can be set up any time. Resources are readily available in the gallery. There are volunteers, and caregivers are involved in weekend activities. One-on-one activities include individual walks, chats, and hand massage occurs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that align with the Wellness model of thinking well, engaging well, and moving well. These include (but are not limited to); daily exercise groups, newspaper reading, board games, quizzes, happy hours, outdoor garden walks and activities, book club, hand and nail care and bowls. Art classes have been introduced and observed on the day of audit. Community visitors include volunteers, SPCA pet therapy visits, church services, school children’s groups, speakers, and entertainers. There are inter-home visits for bowls. Resident led groups include the ladies’ group and men’s group with their choice of activities and outings. The service has a van and hires a wheelchair taxi for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wellness leaders are involved in the six-monthly review with the RN. The service receives feedback and suggestions for the programme through resident integrated meetings (rest home and hospital) and surveys. The residents and relatives interviewed were happy with the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wellness leaders interviewed explained how they assist the younger person with disabilities to maintain their community links through supporting with transport and assisting with making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were evaluated by the RN within three weeks of admission. Long-term care plans have been evaluated by the RN six monthly or earlier for any health changes in the electronic resident files reviewed. Family are invited to attend the multidisciplinary review meeting and case conference notes are kept on the electronic system.  Written evaluations reviewed, identified if the resident goals had been met or unmet. The GP reviews the residents at least three monthly or earlier if required. Ongoing nursing evaluations occur as indicated and are documented within the electronic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22 August 2022. The maintenance manager works full-time and is on the health and safety committee. There is a maintenance request book for repair and maintenance requests located at the reception. This is checked daily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A contracted gardener maintains the gardens and grounds. The service continues to develop households within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There is a designated resident smoking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support office. There has been one gastro outbreak recorded and reported to Public Health in July 2019. This was of short duration, contained and managed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have received both doses of the Pfizer Covid-19 vaccine with staff vaccination ongoing in conjunction with the local DHB.  Residents and staff are offered the influenza vaccine. Covid-19 scanning/manual sign in is mandatory on entry to the facility and the use of face masks are required as part of level 2 restrictions. Internal infection control audits also assist the service in evaluating infection control needs. There is close liaison with the GP and Arvida national quality manager who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number of PPE stock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includes comprehensive restraint procedures and identifies that restraint be used as a last resort. The service continues to be restraint-free. There were no residents using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(clinical manager) reviews residents who may have behaviours that challenge, and these are discussed at the monthly quality meetings. Challenging behaviour and restraint minimisation and safe practice education is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48"/>
        <w:gridCol w:w="1280"/>
        <w:gridCol w:w="8844"/>
        <w:gridCol w:w="116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care documentation policy including writing of progress notes in the electronic system. Direct cares are provided by caregivers, a worklog (ADL, position changes, food and fluid monitoring, skin management, toileting schedule) is created by the RNs for caregivers to complete. The worklog and progress notes are utilised to complete an RN daily or weekly review. The resident in the service apartments had daily progress notes from a caregiver and at least a weekly RN entry. When changes in a resident’s health care status is noted, it is expected caregivers’ complete information notes on the worklog; this is not always occurring for residents in the hospital and rest home. The clinical manager interviewed confirmed that staff were alerted of the shortfalls through toolbox meetings. The service commenced a quality improvement plan in June 2021 following an internal audit (sighted), however there were still shortfalls identified in the period following the commencement of corrective actions.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(one hospital and one rest home) of five residents progress notes did not evidence an accurate account of care delivered.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progress notes facilitate sharing of key information and readily highlight an emerging pattern of concern.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Mayfair Lifecare (2008) Limited - Mayfair Lifecare</w:t>
    </w:r>
    <w:bookmarkEnd w:id="58"/>
    <w:r>
      <w:rPr>
        <w:rFonts w:cs="Arial"/>
        <w:sz w:val="16"/>
        <w:szCs w:val="20"/>
      </w:rPr>
      <w:tab/>
      <w:t xml:space="preserve">Date of Audit: </w:t>
    </w:r>
    <w:bookmarkStart w:id="59" w:name="AuditStartDate1"/>
    <w:r>
      <w:rPr>
        <w:rFonts w:cs="Arial"/>
        <w:sz w:val="16"/>
        <w:szCs w:val="20"/>
      </w:rPr>
      <w:t>27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