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Marne Street Hospital Limited - Marne Street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Marne Street Hospital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Marne Street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Residential disability services - Intellectual; Hospital services - Medical services; Hospital services - Geriatric services (excl. psychogeriatric); Rest home care (excluding dementia care); Residential disability services - Physical</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7 October 2021</w:t>
      </w:r>
      <w:bookmarkEnd w:id="7"/>
      <w:r w:rsidRPr="009418D4">
        <w:rPr>
          <w:rFonts w:cs="Arial"/>
        </w:rPr>
        <w:tab/>
        <w:t xml:space="preserve">End date: </w:t>
      </w:r>
      <w:bookmarkStart w:id="8" w:name="AuditEndDate"/>
      <w:r w:rsidR="00A4268A">
        <w:rPr>
          <w:rFonts w:cs="Arial"/>
        </w:rPr>
        <w:t>8 October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Marne Street Hospital provides hospital (geriatric and medical), rest home and residential disability (intellectual and physical) levels of care for up to 55 residents. There were 55 residents during the audit.</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interviews with residents, family, management, staff, and a general practitioner.</w:t>
      </w:r>
    </w:p>
    <w:p w:rsidRPr="00A4268A">
      <w:pPr>
        <w:spacing w:before="240" w:line="276" w:lineRule="auto"/>
        <w:rPr>
          <w:rFonts w:eastAsia="Calibri"/>
        </w:rPr>
      </w:pPr>
      <w:r w:rsidRPr="00A4268A">
        <w:rPr>
          <w:rFonts w:eastAsia="Calibri"/>
        </w:rPr>
        <w:t>The facility manager is appropriately qualified and experienced and is supported by a clinical manager (registered nurse). There are quality systems and processes being implemented. Feedback from residents and families was very positive about the care and the services provided. An induction and in-service training programme are in place to provide staff with appropriate knowledge and skills to deliver care.</w:t>
      </w:r>
    </w:p>
    <w:p w:rsidRPr="00A4268A">
      <w:pPr>
        <w:spacing w:before="240" w:line="276" w:lineRule="auto"/>
        <w:rPr>
          <w:rFonts w:eastAsia="Calibri"/>
        </w:rPr>
      </w:pPr>
      <w:r w:rsidRPr="00A4268A">
        <w:rPr>
          <w:rFonts w:eastAsia="Calibri"/>
        </w:rPr>
        <w:t xml:space="preserve">This certification audit identified that improvements are required in relation to timeframes for completion of interRAI and care plans, and restraint monitoring documentation.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Health and Disability Commissioner (HDC) Code of Health and Disability Services Consumers' Rights (the Code) is presented to residents and their families during entry to the service. Policies are implemented to support the Code. Care planning accommodates individual choices of residents and/or their family/whānau. Residents are encouraged to maintain links with the community. Systems are in place to ensure residents, and where appropriate their family or enduring power of attorney, are provided with appropriate information to make informed choices and informed decisions. Residents and family report communication with management and staff is open and transparent. Complaints and concerns have been managed as per HDC guidelines.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Services are planned, coordinated, and are appropriate to the needs of the residents. Facility goals are documented, regularly reviewed, and updated annually. A facility manager, clinical manager and quality coordinator are responsible for the day-to-day operations of the care facility. Quality and risk management processes are implemented. The risk management programme includes a risk management plan, incident and accident reporting, and health and safety processes. Adverse, unplanned, and untoward events are documented and investigated. Human resources are managed in accordance with good employment practice. An orientation programme is in place for new staff. A staff education and training programme is embedded into practice. Registered nursing cover is provided twenty-four hours a day, seven days a week. There are adequate numbers of staff on duty to ensure residents are safe.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enrolled nurse and registered nurses are responsible for all assessments and the development of the care plans. Not all resident files reviewed evidenced that assessments and care plans had been completed and evaluated in the required timeframes. InterRAI assessments were not all completed within 21 days of admission or six-monthly thereafter. Activity assessments and the diversional therapy care plans are completed by the diversional therapist and the activities programme is age appropriate. Special consideration is given to younger people when planning the activities programme. Allied health interventions are documented and integrated into care plans. The service has a contract with a physiotherapist. A podiatrist visit regularly.  Marne Street Hospital uses an electronic medication management system that is fully implemented. Food services are provided by an external catering company and resident interviews confirmed satisfaction with food services.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building warrant of fitness. A preventative and reactive maintenance plan is implemented. The facility employs a maintenance person who is responsible for day-to-day maintenance and repair. There is a comprehensive check system of the building and equipment that is carried out by the maintenance person. Electrical appliances and medical equipment are tested and tagged by contracted service providers. The facility replaced carpeting in all communal areas with carpet tiles and purchased a carpet cleaning machine to increase use of carpet cleaning. All rooms are personalised and have a mix of private ensuites, shared ensuites and hand basins only. There is adequate room for the safe delivery of hospital level of care within the residents’ rooms. Residents can freely access communal areas using mobility aids. Outdoor areas are safe and accessible for the residents. There is adequate equipment for the safe delivery of care. All chemicals are stored safely throughout the facility. The cleaning stuff maintain a tidy and clean environment. There is an emergency management plan in place and adequate civil defence supplies in the event of an emergency. There is an approved evacuation scheme and emergency supplies for at least three days.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FF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Some standards applicable to this service partially attained and of low risk.</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Staff receive training in restraint minimisation and challenging behaviour management. The restraint coordinator is a registered nurse who is responsible for ensuring restraint management processes are followed. During the audit there were five residents with restraint and two residents with enablers.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Documented policies and procedures are in place for the prevention and control of infections and reflect current accepted good practice and meet legislative requirements. The infection prevention and control programme is comprehensive and is fully implemented.  COVID-19 management plans are in place and staff have received appropriate training. Vaccination rates are high for both residents and staff. The enrolled nurse is the infection control coordinator. Staff receive ongoing education related to infection prevention and control. The type of surveillance undertaken is appropriate to the size and complexity of the organisation. Results of surveillance are acted upon, evaluated, and reported to staff in a timely manner. The service maintains an outbreak management kit for emergencies.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12"/>
        <w:gridCol w:w="1280"/>
        <w:gridCol w:w="944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Commissioner’s (HDC) Code of Health and Disability Consumers’ Rights (the Code) brochures are provided to residents and their families during their entry to the service. Two managers (one facility manager, and one clinical manager,) and fourteen staff (four healthcare assistants (two AM shift and two PM shift), three registered nurses (RNs), one enrolled nurse/quality coordinator, one diversional therapist (DT), one maintenance staff, one cleaner, one laundry, one physiotherapist, one kitchen assistant) interviewed confirmed their understanding of the Code and how it applies to their job role and responsibilities. Staff receive training about the Code during their induction to the service. This training continues through the annual staff education and training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are in place to ensure residents, and where appropriate their family or enduring power of attorney (EPOA), are provided with appropriate information to make informed choices and informed decisions. There are informed consent policies/procedures and advanced directives, and these were implemented. General consents obtained on admission and consent forms were signed in all eight residents’ files reviewed including one YPD contract. Resuscitation plans for residents were appropriately signed. Copies of EPOA were in resident files for residents deemed incompetent to make decisions. Eight of eight resident files included a completed form of “My Advance Care Plan”. Residents and relatives interviewed confirmed they have been made aware of and fully understand informed consent processes and confirmed that appropriate information had been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interviews confirmed information was provided to residents prior to consents being sought and they were able to decline or withdraw their consent.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family members identified that the service actively involves them in decisions that affect their relative’s lives.</w:t>
            </w:r>
          </w:p>
          <w:p w:rsidR="00EB7645" w:rsidRPr="00BE00C7" w:rsidP="00BE00C7">
            <w:pPr>
              <w:pStyle w:val="OutcomeDescription"/>
              <w:spacing w:before="120" w:after="120"/>
              <w:rPr>
                <w:rFonts w:cs="Arial"/>
                <w:b w:val="0"/>
                <w:lang w:eastAsia="en-NZ"/>
              </w:rPr>
            </w:pPr>
            <w:r w:rsidRPr="00BE00C7">
              <w:rPr>
                <w:rFonts w:cs="Arial"/>
                <w:b w:val="0"/>
                <w:lang w:eastAsia="en-NZ"/>
              </w:rPr>
              <w:t>Eight admission agreements were sighted and all eight had been signed on the day of admission.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HDC advocacy brochures are included in the information provided to new residents and their family during their entry to the service. Staff receive regular education and training on the role of advocacy services, which begins during their induction to the service. Education is provided by the local HDC advocacy service.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interviewed are aware of the role of advocacy services and their right to access support. The complaints process is linked to advocacy services with evidence of advocacy contact details included in the documentation provided to complainants.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the residents to maintain their relationships with friends and community groups. The service usually has an open visiting policy although restrictions have been implemented during Covid lockdowns. At the time of the audit the area was in a level two lockdown. Visits were by appointment only and were time restricted. Assistance is provided by the care staff to ensure that the residents participate in as much as they can safely and desire to do, evidenced through interviews and observations. The three residents on the young person with a disability (YPD) contract are provided with one-on-one visits including shopping visits and attending movies and concerts where able. They also are provided with WIFI access and have electronic devices in their rooms (e.g., computer, i-pad, mobile phones).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residents and families during entry to the service. Access to complaint forms is located at reception. </w:t>
            </w:r>
          </w:p>
          <w:p w:rsidR="00EB7645" w:rsidRPr="00BE00C7" w:rsidP="00BE00C7">
            <w:pPr>
              <w:pStyle w:val="OutcomeDescription"/>
              <w:spacing w:before="120" w:after="120"/>
              <w:rPr>
                <w:rFonts w:cs="Arial"/>
                <w:b w:val="0"/>
                <w:lang w:eastAsia="en-NZ"/>
              </w:rPr>
            </w:pPr>
            <w:r w:rsidRPr="00BE00C7">
              <w:rPr>
                <w:rFonts w:cs="Arial"/>
                <w:b w:val="0"/>
                <w:lang w:eastAsia="en-NZ"/>
              </w:rPr>
              <w:t>A register of complaints received is maintained. Six complaints were received in 2020 and two in 2021 (year-to-date). Documentation, including acknowledgement of each complaint and follow-up letters to the complainant, demonstrated that complaints are being managed within HDC guidelines. Complaints are linked to the quality and risk management system and to HDC advocacy services.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complaint lodged with HDC in 2019 was documented as closed by HDC on 29 January 2021. This complaint was reviewed by an appointed technical expert, and concerns were raised relating to the RNs critical thinking skills. As a result, a comprehensive education and training programme was implemented for the RNs addressing critical thinking. All nurses have been provided with process-orientated flip cards. The safe handling and transferring policy was updated, all staff attend manual handling in-service training annually with evidence of 100% attendance.  Hoist slings were replaced, and pain assessment and management plans are being implemented.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residents and families/whānau confirmed they were provided with information on the complaints process and remarked that any concerns or issues they have are addressed promptly.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Details relating to the Code and the Health and Disability Advocacy Service are included in the resident information that is provided to new residents and their families. The Code is discussed with residents and their family on admission. Discussions relating to the Code are also held during the resident/family meetings. All four hospital level residents and four family interviewed reported that the residents’ rights were being upheld by the service. (Note: no residents on the young person with a disability contract (YPD) were available to be interviewed.)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personal belongings are used to decorate their rooms. Privacy locks are on shared and communal toilet doors.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staff interviewed reported that they knock on bedroom doors prior to entering rooms, ensure doors are shut when cares are being given and do not hold personal discussions in public areas. They reported that they promote the residents' independence by encouraging them to be as active as possible. Residents and families interviewed confirmed that the residents’ privacy is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Guidelines on abuse and neglect are documented in policy. The facility manager is a member of the Dunedin elder abuse council, run by Otago Age Concern, as the representative for residential care and attends monthly meetings. Staff attend annual education and training on abuse and neglect, which begins during their induction to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ensuring that the individual interests, customs, beliefs, cultural and ethnic backgrounds of Māori are valued and fostered within the service. The Māori health plan has had input and was checked by two cultural advisors who are linked to Ngāti Maru. There are also two staff who identify as Māori. Care staff interviewed reported that they value and encourage active participation and input from the family/whānau in the day-to-day care of the residents. Staff education on cultural awareness begins during their induction to the service and continues as a regular in-service. The healthcare assistants interviewed provided examples of how they ensure Māori values and beliefs are upheld by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two Māori residents living at the facility at the time of the audit. One resident and their whanau were interviewed, and the resident file was reviewed. Cultural requests are identified in the Māori health assessment. Staff are aware of this resident’s preferences. One laundry staff (Maori) regularly visits this resident, which is greatly appreciated, as described by whānau interviewed. The resident interviewed confirmed that her values and beliefs are respected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identifies the residents’ personal needs and desires from the time of admission. This is achieved in collaboration with the resident, family and/or their representative. It was demonstrated through interviews and observations that staff are committed to ensuring each resident remains a person, even in a state of decline. Beliefs and values are discussed and incorporated into the residents’ care plans, evidenced in all eight care plans reviewed. Residents and family interviewed confirmed they were involved in developing the resident’s plan of care, which included the identification of individual values and beliefs.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Professional boundaries are discussed with each new employee during their induction to the service. Professional boundaries are also described in job descriptions. Interviews with the care staff confirmed their understanding of professional boundaries including the boundaries of the healthcare assistants’ role and responsibilities. Professional boundaries are reconfirmed through education and training sessions, staff meetings, and performance management if there is infringement with the person concerned.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is on-site 24 hours a day, seven days a week. A GP visits the facility twice per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receives support from the district health board (DHB), which includes (but is not limited to) DHB specialist visits (e.g., gerontology nurse specialist, mental health services). Support is also provided through Hospice New Zealand. Physiotherapy services are on-site eight hours (two days a week) with additional physiotherapy hours allocated for ACC injuries and frequent fallers.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family/whānau interviewed reported that they are either satisfied or very satisfied with the services received. The annual resident and family satisfaction surveys (October 2020) reflect residents and families who are either satisfied or very satisfied with the services being delivered. One corrective action was implemented in 2020 to address food satisfaction. Results have been shared with staff. The 2021 survey is currently underway.</w:t>
            </w:r>
          </w:p>
          <w:p w:rsidR="00EB7645" w:rsidRPr="00BE00C7" w:rsidP="00BE00C7">
            <w:pPr>
              <w:pStyle w:val="OutcomeDescription"/>
              <w:spacing w:before="120" w:after="120"/>
              <w:rPr>
                <w:rFonts w:cs="Arial"/>
                <w:b w:val="0"/>
                <w:lang w:eastAsia="en-NZ"/>
              </w:rPr>
            </w:pPr>
            <w:r w:rsidRPr="00BE00C7">
              <w:rPr>
                <w:rFonts w:cs="Arial"/>
                <w:b w:val="0"/>
                <w:lang w:eastAsia="en-NZ"/>
              </w:rPr>
              <w:t>A special project around end-of-life care, initiated in 2016, continues with significant and positive outcomes. All residents have an advanced care plan in place with the planning document revised and updated in 2020.</w:t>
            </w:r>
          </w:p>
          <w:p w:rsidR="00EB7645" w:rsidRPr="00BE00C7" w:rsidP="00BE00C7">
            <w:pPr>
              <w:pStyle w:val="OutcomeDescription"/>
              <w:spacing w:before="120" w:after="120"/>
              <w:rPr>
                <w:rFonts w:cs="Arial"/>
                <w:b w:val="0"/>
                <w:lang w:eastAsia="en-NZ"/>
              </w:rPr>
            </w:pPr>
            <w:r w:rsidRPr="00BE00C7">
              <w:rPr>
                <w:rFonts w:cs="Arial"/>
                <w:b w:val="0"/>
                <w:lang w:eastAsia="en-NZ"/>
              </w:rPr>
              <w:t>A quality improvement project addressing critical thinking in aged residential care was initiated in response to a health and disability complaint received. Actions were taken to ensure that residents who have symptoms/concerns are investigated thoroughly and holistically, with evidence of problem solving, planning and evaluation documented in residents’ files and the appropriate and timely collaboration with allied team members/specialists to ensure advice and best practice is sought to manage complex issues.</w:t>
            </w:r>
          </w:p>
          <w:p w:rsidR="00EB7645" w:rsidRPr="00BE00C7" w:rsidP="00BE00C7">
            <w:pPr>
              <w:pStyle w:val="OutcomeDescription"/>
              <w:spacing w:before="120" w:after="120"/>
              <w:rPr>
                <w:rFonts w:cs="Arial"/>
                <w:b w:val="0"/>
                <w:lang w:eastAsia="en-NZ"/>
              </w:rPr>
            </w:pPr>
            <w:r w:rsidRPr="00BE00C7">
              <w:rPr>
                <w:rFonts w:cs="Arial"/>
                <w:b w:val="0"/>
                <w:lang w:eastAsia="en-NZ"/>
              </w:rPr>
              <w:t>The GP interviewed is satisfied with the care that is being provided by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open disclosure policy is based on the principle that residents and their families have a right to know what has happened to them and to be fully informed at all times. The policy describes open disclosure as part of everyday practice. The care staff interviewed understood about open disclosure and providing appropriate information and resource material when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Families interviewed confirmed they are kept informed of the resident`s status, including any events adversely affecting the resident. Fifteen accident/incident forms reviewed reflected documented evidence of families being informed following an adverse event. </w:t>
            </w:r>
          </w:p>
          <w:p w:rsidR="00EB7645" w:rsidRPr="00BE00C7" w:rsidP="00BE00C7">
            <w:pPr>
              <w:pStyle w:val="OutcomeDescription"/>
              <w:spacing w:before="120" w:after="120"/>
              <w:rPr>
                <w:rFonts w:cs="Arial"/>
                <w:b w:val="0"/>
                <w:lang w:eastAsia="en-NZ"/>
              </w:rPr>
            </w:pPr>
            <w:r w:rsidRPr="00BE00C7">
              <w:rPr>
                <w:rFonts w:cs="Arial"/>
                <w:b w:val="0"/>
                <w:lang w:eastAsia="en-NZ"/>
              </w:rPr>
              <w:t>An interpreter service is available and accessible if required. Families and staff are utilised in the first instance. At the time of the audit, there were no residents who were unable to speak/understand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Marne Street Hospital is certified to provide care for up to 55 residents at rest home, hospital (geriatric and medical) and residential disability (physical and intellectual) levels of care. Ten rooms are certified for dual-purpose with the remaining 45 rooms hospital only. On the day of the audit, there were 55 hospital-level residents and no rest home level residents. Three residents were on the young persons with a disability (YPD) contract. The facility manager reported that they rarely (if ever) admit a rest home level resident and would do so under special circumstances only.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owned by three directors who regularly meet with the facility manager. An annual business plan has been developed that includes a mission, vision, values, and measurable goals. Business goals are regularly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experienced facility manager oversees operations. She has 30 years of experience in aged care and has been managing this facility since July 2012. She receives support from an experienced clinical manager/RN and a quality coordinator/EN.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has completed at least eight hours of training related to management of an aged care facility, relevant to her role and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absence of the facility manager, the clinical manager and quality coordinator, are in charge of operations.  The clinical manager has 28 years of experience as an RN and has been employed at Marne Street Hospital since October 2012. The quality coordinator, another long-standing manager, is an enrolled nurse (EN) and is also responsible for the infection control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and risk management programmes are being implemented. A quality coordinator provides overall direction with oversight by the facility manager. Interviews with the managers and staff reflects their understanding of the systems that have been put into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and associated implementation systems provide a good level of assurance that the facility is meeting accepted good practice and adhering to relevant standards - including those standards relating to the Health and Disability Services (Safety) Act 2001. A document control system is in place. Policies are regularly reviewed. New policies or changes to policy are communicated to staff, evidenced in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Quality data collected is collated and analysed. Results are communicated to staff via regular staff meetings. Strategies are implemented to address trends in data (e.g., strategies to address falls). An internal audit programme is being implemented. Areas of non-compliance include the initiation of a corrective action plan with corrective actions signed off to evidence their implementation. Staff are informed of audit results and corrective actions (where identified). A quality improvement register is maintained that keeps a running tally of quality initiatives. Examples include (but are not limited to) the implementation of a communication board for the RNs, laminated breakfast cards for residents, pain assessment charts for residents on prn pain meds).</w:t>
            </w:r>
          </w:p>
          <w:p w:rsidR="00EB7645" w:rsidRPr="00BE00C7" w:rsidP="00BE00C7">
            <w:pPr>
              <w:pStyle w:val="OutcomeDescription"/>
              <w:spacing w:before="120" w:after="120"/>
              <w:rPr>
                <w:rFonts w:cs="Arial"/>
                <w:b w:val="0"/>
                <w:lang w:eastAsia="en-NZ"/>
              </w:rPr>
            </w:pPr>
            <w:r w:rsidRPr="00BE00C7">
              <w:rPr>
                <w:rFonts w:cs="Arial"/>
                <w:b w:val="0"/>
                <w:lang w:eastAsia="en-NZ"/>
              </w:rPr>
              <w:t>A health and safety programme is in place.  Health and safety meetings take place two-monthly with a health and safety report forwarded to the board of directors. A health and safety communication board is visible adjacent to the staff room and includes a copy of the (regularly reviewed) hazard register.  Staff and contractors are orientated to the facility’s health and safety programme. Training continues annually. Evidence was sighted in meeting minutes of staff being kept informed of hazards and staff accidents (if any).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accidents and incidents reporting policy is in place. There was evidence to support actions are undertaken to minimise the number of incidents. Clinical evaluation of residents following an adverse event is conducted by a registered nurse and was evidenced in all 15 accident/incident forms reviewed (bruising, skin tears, witnessed and unwitnessed falls). Neurological observations comply with policy when there is a suspected injury to the head or an unwitnessed fall.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Adverse events are linked to the quality and risk management programme. Staff are kept informed in a timely manner regarding accidents and incidents and the implementation of strategies to reduce the number of adverse events.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is aware of the requirement to notify relevant authorities in relation to essential notifications with examples provided. One Section 31 report was completed in August 2021 to notify HealthCERT of RN staffing shortages. There have been no infectious outbreaks.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which include the recruitment and staff selection process. Relevant checks are completed to validate the individual’s qualifications, experience, and veracity, evidenced in eight staff files randomly selected for review (five healthcare assistants, three registered nurses). Reference checks are completed for all new employees.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Copies of practising certificates for health professionals are kept on file. The service has implemented an orientation programme that provides new staff with relevant information for safe work practice. Evidence of completed induction checklists were sighted in all staff files reviewed. Staff appraisals are completed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in-service education programme is being implemented, meeting contractual requirements. Regular education and training are provided by a range of in-house and external speakers, including but not limited to nurse specialists, Age Concern and the Health and Disability Advocacy Service. Annual competencies are completed for manual handling, emergency management, carer continuing competency, restraint, and medication. Thirty-seven healthcare assistants were employed at the time of the audit. Seven had completed a level two Careerforce qualification (or its equivalent), seven has completed a level three qualification and nine had completed a level four qualification. Two RNs (including the clinical manager) and one EN (quality coordinator) have completed their interRAI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includes staff rationale and skill mix.  Sufficient staff are rostered to manage the care requirements of the residents. The facility manager and clinical manager/RN are on-site Monday – Friday and are available on-call when not on-site. The quality coordinator is an enrolled nurse and is available Monday – Friday.</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staffed with two RNs on the am and pm shifts and one RN on the night shift, seven days a week. At the time of the audit, there were three RN vacancies. As a result, an experienced (level four qualified) healthcare assistant covers for the (second) RN where necessary but never without an RN on-site.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healthcare assistants (HCAs): Ten HCAs are rostered on the AM shift: four long (eight hour) shifts and six short shifts (to 1300 or 1330). Six HCAs are rostered on the PM shift (three long shift and three short shifts (1645 – 2200). The night shift is staffed with two HCAs. A pool of casual staff are available to help cover absences.  </w:t>
            </w:r>
          </w:p>
          <w:p w:rsidR="00EB7645" w:rsidRPr="00BE00C7" w:rsidP="00BE00C7">
            <w:pPr>
              <w:pStyle w:val="OutcomeDescription"/>
              <w:spacing w:before="120" w:after="120"/>
              <w:rPr>
                <w:rFonts w:cs="Arial"/>
                <w:b w:val="0"/>
                <w:lang w:eastAsia="en-NZ"/>
              </w:rPr>
            </w:pPr>
            <w:r w:rsidRPr="00BE00C7">
              <w:rPr>
                <w:rFonts w:cs="Arial"/>
                <w:b w:val="0"/>
                <w:lang w:eastAsia="en-NZ"/>
              </w:rPr>
              <w:t>There are separate domestic staff who are responsible for cleaning and laundry services, seven days a week.</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residents and family members identified that staffing is adequate to meet the needs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files are appropriate to the service type. Residents entering the service have all relevant initial information recorded within 24 hours of entry. An initial support plan is also developed in this time. Personal resident information is kept confidential and cannot be viewed by other residents or members of the public. Residents’ files are protected from unauthorised access by being held in secure rooms. Archived records are secure in a separate locked storage facility located on the premises.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files demonstrate service integration. Entries are legible, dated, and signed by the carer, and include their designation and time of entry.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comprehensive admission policies and processes in place. Information gathered on admission is retained in residents’ records. An information pack is available for residents and families at entry. This includes all relevant aspects of service and residents and/or family are provided with associated information such as the HDC Code of Rights and how to access advocacy. The service conducts an assessment on all new residents. This includes identification of risks. Residents and family members confirm/sign-off that an assessment process has been completed and this identifies needs and associated risks. Relatives interviewed stated they were well informed upon admission. The admission agreement reviewed aligns with the service’s contracts.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to describe guidelines for death, discharge, transfer, documentation, and follow-up. All relevant information is documented and communicated to the receiving health provider or service. A transfer form accompanies residents to receiving facilities. Transfer notes and discharge information was available in resident records of those with previous hospital admission. Required follow-up is completed including medication reconciliation and GP follow-up. All appropriate documentation and communication were completed.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policies align with accepted guidelines. Registered Nurses and the EN are responsible for the administration of medications and all have completed an annual medication competency. The service uses an electronic medication management system and four-weekly sachet dose medication packs. RNs complete a medication reconciliation on delivery. There were no expired medications in the trolley or medication cupboards. Sixteen electronic medication charts reviewed identified photo identification and allergy status. The signing sheets in the electronic system demonstrated that medications had been dated and administered as prescribed on the medication chart for all regular and ‘as required’ medications. Warfarin doses are authorised through the electronic medication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currently one resident self-administering a nasal spray only. A competency assessment has been completed with GP authorisation and is reviewed three-monthly. There is evidence of the self-administering being monitored through the electronic medication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have completed syringe driver training and competency. Standing orders were not in use. One registered nurse and one health care assistant were observed administrating medications safely and correctly. The medication charts reviewed identified that the GP had seen and reviewed the resident three-monthly and the medication chart was signed.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Food services are provided by an external contractor and transported to the facility in hot boxes. The breakfast menu is prepared and served by the staff. All other meals and morning and afternoon tea are provided by the contractor. A stock is kept in the kitchen to accommodate last minute changes in food service, and staff are able to make deserts, soups, pasta dishes and sandwiches if required.  There is a four-weekly seasonal menu which has been approved by a dietitian. The residents’ nutritional profiles are kept in a folder in the kitchen, and this information is also provided to the contractor. The folder includes all dietary information and is updated when a new resident enters the service. Information includes any dietary changes and/or weight loss. Food allergies, likes and dislikes are listed in the kitchen. Special diets such as diabetic, vegetarian, pureed, soft, gluten free, lactose free, high protein diets are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Meals are plated and served at the main kitchen and the kitchenette next to the second dining room/lounge. Staff were observed assisting residents with their meals and drinks. Supplements are provided to residents with identified weight loss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Fridge, freezer, and chiller temperatures are taken and recorded daily. Food temperatures are checked on arrival to the facility. Dry goods are stored in dated sealed containers. Chemicals are stored safely. Cleaning schedules were maintained. Staff who work in the kitchen have completed or are currently completing their food safety course.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contractor follows a recognised food safety programme. The facility has a food control plan approved by the Dunedin City Council that was dated valid until April 2022.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specialised crockery such as lip plates and mugs and utensils to promote resident independence with meals.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were very satisfied with the food services and reported that alternative food choices were offered for dislikes.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 interview, the facility manager and the clinical manager discussed the process of declined entry and support and alternatives for those declined. Anyone declined entry is referred back to the referring agency for appropriate placement and advice.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appropriate personal needs information is gathered during admission, in consultation with the resident and their relative where appropriate. InterRAI assessments were completed by the two RNs and one EN who maintain interRAI competency. The service employs eight RNs.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Along with the interRAI, other clinical and nursing assessment tools were completed. These include but are not limited to; a) pain, b) continence, c) nutrition, d) skin assessment e) pressure injury, f) falls risk assessment, g) mobility, h) wound assessment and i) behaviour assessment. InterRAI initial assessments and assessment summaries were evident in printed format in all files. The information obtained through the assessment processes was reflected into the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long-term care plans reviewed were comprehensive and described the support required to meet the residents’ goals and needs. They identified allied health involvement under a comprehensive range of template headings that match interRAI assessments. All resident care plans sampled were resident-centred and included information gathered from assessments, monitoring charts and observations. Residents and their family or EPOA are involved in the care planning and review process. Care plans were amended to reflect changes in health status. There was evidence of service integration with documented input from a range of specialists and allied health providers. These recommendations were included in the care plans and were followed up. Staff interviewed reported they are involved in the care planning process and changes to the care plans are communicated to them through verbal and written handovers.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confirmed they are involved in the care planning process and are happy with the care provided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being provided is consistent with the needs of residents. This was evidenced through interviews with staff, management team, residents, and families. Document reviews also confirmed that care plan interventions reflected the resident’s current needs, and appropriately guide staff in care delivery.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and/or care plan interventions change, the RN initiates a GP visit, and when required the clinical manager facilitates a referral to an external specialist.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written record of each resident’s progress is documented. Residents’ changes in condition are followed-up by an RN as evidenced in residents' progress notes. Family members interviewed stated that they are notified of any changes to their relative’s health including (but not limited to) accident/incidents, infections, health professional visits and changes in medications. There was documented evidence of relative contact for any changes to a resident’s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advised that due to a shortage of registered nurses, four senior healthcare assistants have been upskilled to assist the nurses in medication rounds, basic wound care, basic observations which they then report to the RNs. A suite of competencies has been developed for the senior healthcare assistants to ensure safety and risk management. </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a three-day urinary continence assessment, bowel management, and continence products identified for day use, night use, and other management. Specialist continence advice is available as needed, and this could be described by the RNs interviewed. Health care assistants and RNs interviewed stated that there is adequate continence and wound care supplies.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wound management and evaluation forms and short-term care plans were in place for 11 residents with 13 wounds including skin tears, skin lesions and skin infections. One resident has a stage 2 pressure injury on the heel. </w:t>
            </w:r>
          </w:p>
          <w:p w:rsidR="00EB7645" w:rsidRPr="00BE00C7" w:rsidP="00BE00C7">
            <w:pPr>
              <w:pStyle w:val="OutcomeDescription"/>
              <w:spacing w:before="120" w:after="120"/>
              <w:rPr>
                <w:rFonts w:cs="Arial"/>
                <w:b w:val="0"/>
                <w:lang w:eastAsia="en-NZ"/>
              </w:rPr>
            </w:pPr>
            <w:r w:rsidRPr="00BE00C7">
              <w:rPr>
                <w:rFonts w:cs="Arial"/>
                <w:b w:val="0"/>
                <w:lang w:eastAsia="en-NZ"/>
              </w:rPr>
              <w:t>Monitoring charts sighted included (but were not limited to), vital signs, blood glucose, pain, food and fluid, turning/repositioning charts, and behaviour monitoring.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experienced diversional therapist (DT) provides planned activities Monday to Friday. There are two activities assistants who work on weekends.</w:t>
            </w:r>
          </w:p>
          <w:p w:rsidR="00EB7645" w:rsidRPr="00BE00C7" w:rsidP="00BE00C7">
            <w:pPr>
              <w:pStyle w:val="OutcomeDescription"/>
              <w:spacing w:before="120" w:after="120"/>
              <w:rPr>
                <w:rFonts w:cs="Arial"/>
                <w:b w:val="0"/>
                <w:lang w:eastAsia="en-NZ"/>
              </w:rPr>
            </w:pPr>
            <w:r w:rsidRPr="00BE00C7">
              <w:rPr>
                <w:rFonts w:cs="Arial"/>
                <w:b w:val="0"/>
                <w:lang w:eastAsia="en-NZ"/>
              </w:rPr>
              <w:t>There is an activities programme calendar, which is displayed in the communal areas. One-on-one time is spent with residents who are unable to or choose not to join in the group activities. Residents were observed participating in one-on-one and groups activities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individual activity plan is developed for each resident and is reviewed at the same time as the care plan in all resident files reviewed. Residents/family have the opportunity to provide feedback on the activity programme through resident meetings, annual surveys and multidisciplinary care reviews.  Links with the community was arranged as required, and the DT stated that they invite community groups to the facility as hospital level care residents were not always able to go on outings. There are regular entertainers to the home when covid alert levels allow.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Special consideration is given to younger people when planning the activities programme. There were three residents under the age of 65. The YPD file reviewed had a range of interventions documented to allow them to participate in a range of cultural, education and leisure activities consistent with their needs and preferences.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had been evaluated by an RN or the EN six-monthly or when changes to care occurred. Evaluations were documented and included progress toward meeting goals. There was documented evidence of care plans being updated as required. There is (at a minimum) a three-monthly review by the GP.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short-term care plans to focus on acute and short-term issues, and these are reviewed and signed off when resolved.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described the referral process to other medical and non-medical services. Referral documentation is maintained on resident files. Examples of referrals sighted were to the needs assessment service coordination (NASC), mental health services, nurse practitioner, palliative care specialists, and dietitian and wound care nurse.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provided examples of where a resident’s condition had changed, and the resident was reassessed for a higher level of care. Discussion with the clinical manager confirmed that currently one resident was referred to the NASC agency for re-assessment.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Internal referrals are completed for the physiotherapist who visits weekly.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around management of waste and hazardous substances. All chemicals sighted were appropriately stored in locked areas and fully labelled. The hazard register identifies hazardous substances and staff indicated a clear understanding of processes and protocols. Infection control policies state specific tasks and duties for which protective equipment is to be worn. There is an incident reporting system that is in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orientation process addresses chemical usage, hazard management and the use of material safety datasheets. Personal protective equipment is readily available, and staff were observed wearing appropriate protective clothing.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warrant of fitness expires on 7 October 2021. All required documentation has been provided to the issuing body and a new building warrant of fitness certificate is pending. A preventative maintenance plan is implemented. The facility employs two maintenance people on a part time basis, and they are responsible for day-to-day maintenance and repairs. External contractors are arranged as required. There is a comprehensive check system of the building and equipment to be carried out by the maintenance personnel. Electrical appliances and medical equipment are tested and tagged by contracted service providers. </w:t>
            </w:r>
          </w:p>
          <w:p w:rsidR="00EB7645" w:rsidRPr="00BE00C7" w:rsidP="00BE00C7">
            <w:pPr>
              <w:pStyle w:val="OutcomeDescription"/>
              <w:spacing w:before="120" w:after="120"/>
              <w:rPr>
                <w:rFonts w:cs="Arial"/>
                <w:b w:val="0"/>
                <w:lang w:eastAsia="en-NZ"/>
              </w:rPr>
            </w:pPr>
            <w:r w:rsidRPr="00BE00C7">
              <w:rPr>
                <w:rFonts w:cs="Arial"/>
                <w:b w:val="0"/>
                <w:lang w:eastAsia="en-NZ"/>
              </w:rPr>
              <w:t>Hot water temperatures are monitored monthly and required remedies (if any) are addressed in timely manner. The lounge areas are designed so that space and seating arrangements provide for individual and group activities. There are quiet, low stimulus areas that provide privacy when required. The external areas are well maintained, and residents can access gardens and indoor areas with ease.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living areas are carpeted, and vinyl surfaces exist in bathrooms/toilets and kitchen areas. Resident rooms have carpet or vinyl. The corridors are carpeted and there are handrails.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dedicated smoking area and residents are monitored when they smoke.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Some rooms have full ensuites, some rooms have shared ensuites and some have hand basins only. Residents, families, and health care assistants report adequate numbers of toilets and showers in each area. There are numbers of resident communal toilets near communal areas. Visitor toilet facilities are available. Residents interviewed stated that their privacy and dignity was maintained while attending to their personal cares and hygiene. The communal toilets were well signed and identifiable.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Room sizes differ but are of sufficient size to cater for hospital level residents. There is sufficient space to safely manoeuvre a lifting or standing hoist and for residents to safely move about the room using mobility aids. Residents were observed manoeuvring walking frames in rooms safely and staff were seen to use hoists.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three lounges and two dining areas. Residents can choose to have meals in rooms as desired. All communal rooms are accessible and accommodate the equipment required for the residents. Activities occur throughout the facility, one of lounges is used as quiet area. Residents are able to move freely, and furniture is arranged to facilitate this.  Residents interviewed reported that they can move around the facility and staff assist them if required, and communal areas meet their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done on-site by designated staff. Chemicals are stored in a locked room in the laundry. A closed chemical dispensing system is used, and all chemicals are labelled with manufacturer’s labels. Residents and relatives expressed satisfaction with cleaning and laundry services. Effectiveness of cleaning and laundry services are monitored through the internal quality system. The facility was very clean and tidy with no odours present.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and disaster policies and procedures and a civil defence plan are documented for the service. Fire drills occur every six months at a minimum. The staff orientation programme and mandatory education and training programme include fire and security training. Staff interviewed confirmed their understanding of emergency procedures. Required fire equipment was sighted on the day of audit. Fire equipment has been checked within required timeframes.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civil defence plan is documented for the service. There are adequate supplies available in the event of a civil defence emergency including food, water, and blankets. A gas barbeque is available. </w:t>
            </w:r>
          </w:p>
          <w:p w:rsidR="00EB7645" w:rsidRPr="00BE00C7" w:rsidP="00BE00C7">
            <w:pPr>
              <w:pStyle w:val="OutcomeDescription"/>
              <w:spacing w:before="120" w:after="120"/>
              <w:rPr>
                <w:rFonts w:cs="Arial"/>
                <w:b w:val="0"/>
                <w:lang w:eastAsia="en-NZ"/>
              </w:rPr>
            </w:pPr>
            <w:r w:rsidRPr="00BE00C7">
              <w:rPr>
                <w:rFonts w:cs="Arial"/>
                <w:b w:val="0"/>
                <w:lang w:eastAsia="en-NZ"/>
              </w:rPr>
              <w:t>A call bell system is in place. Residents were observed in their rooms with their call bell alarms in close proximity. Call bells are checked regularly by the maintenance staff.</w:t>
            </w:r>
          </w:p>
          <w:p w:rsidR="00EB7645" w:rsidRPr="00BE00C7" w:rsidP="00BE00C7">
            <w:pPr>
              <w:pStyle w:val="OutcomeDescription"/>
              <w:spacing w:before="120" w:after="120"/>
              <w:rPr>
                <w:rFonts w:cs="Arial"/>
                <w:b w:val="0"/>
                <w:lang w:eastAsia="en-NZ"/>
              </w:rPr>
            </w:pPr>
            <w:r w:rsidRPr="00BE00C7">
              <w:rPr>
                <w:rFonts w:cs="Arial"/>
                <w:b w:val="0"/>
                <w:lang w:eastAsia="en-NZ"/>
              </w:rPr>
              <w:t>There is a minimum of one staff member available 24 hours a day, seven days a week with a current first aid/CPR certificate. This includes a first aid trained staff accompanying residents on outings.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apartments are appropriately heated and ventilated. Residents have access to natural light in their bedrooms and there is adequate external light in communal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(IC) programme and its content and detail are appropriate for the size, complexity and degree of risk associated with the service. The IC coordinator is an enrolled nurse, and she is supported by the clinical manager and a clinical nurse specialist from the Southern DHB who works exclusively in aged residential care facilities. The IC programme is well established at Marne Street Hospital. The IC committee consists of a cross-section of staff and there is external input as required from the GP, the local DHB and Public Health South. The infection control nurse has attended external education by the DHB. There have been no outbreaks since 2015. All staff are orientated in IC processes on employment and education around IC and prevention is ongoing throughout the year. IC is discussed at every meeting and during handovers as required. The infection control programme and its content and detail are appropriate for the size, complexity and degree of risk associated with the service. Staff are well informed about infection control practises and reporting.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clearly defined Pandemic plans for Covid-19 alert levels and has procured sufficient supplies of PPE. Visitors are asked not to visit if they are unwell. Hand sanitisers were appropriately placed throughout the facility. Covid isolation kits have been put together in readiness, and education and training for staff has been provided. All visitors must register at reception and be screened. Covid vaccinations have been provided for staff and residents. The service maintains a large supply of outbreak management resources, which includes but is not limited to special bins with lids, antibacterial wipes, clothing protectors, gowns, surgical masks, N95 masks, gloves, specific bags for contaminated items, antibacterial gels, and sprays. The service has achieved 100% vaccination rate for both current staff and residents and is commended for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resources to implement the IC programme. Infection prevention and control is part of staff orientation. Hand washing facilities are available throughout the facility and alcohol hand gel is freely available. IC audits were completed, and IC signs were visible throughout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IC programme is completed annually. All IC data and other relevant IC information are communicated to staff and visiting health providers.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manual outlines a comprehensive range of policies, standards, and guidelines, and reflect current accepted practice and meet legislative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control training is facilitated by the IC coordinator. Formal infection control education for staff has occurred and the IC coordinator completed an external IC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and family interviews confirmed that visitors are advised of any outbreaks of infection in the community or other residential aged care facilities and are advised not to attend until the outbreak has been resolved. Information is provided to residents and visitors that is appropriate to their needs and this is documented in the resident file. This was sighted in one file for a resident with Extended Spectrum Beta Lactamase (ESBL) positive. Staff interviewed were knowledgeable around infection prevention and cross contamination and were given examples of how to provide care to residents with ESBL. Infection control education has been provided throughout 2020 and 2021 including hand washing and hand hygiene, donning and doffing PPE, waste management, covid alert levels, outbreak management and correct use of other personal protective equipment. Infection control education is also provided at the orientation session for new staff and includes hand hygiene.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linked to the quality management programme. Monthly infection data is collected for all infections based on signs and symptoms of infection. Short-term care plans are used. Surveillance of all infections is entered onto a monthly infection summary. This data is monitored and evaluated monthly and annually. Results of surveillance are acted upon in a timely manner. Outcomes and actions of IC surveillance programme is discussed at the staff and all other meetings. </w:t>
            </w:r>
          </w:p>
          <w:p w:rsidR="00EB7645" w:rsidRPr="00BE00C7" w:rsidP="00BE00C7">
            <w:pPr>
              <w:pStyle w:val="OutcomeDescription"/>
              <w:spacing w:before="120" w:after="120"/>
              <w:rPr>
                <w:rFonts w:cs="Arial"/>
                <w:b w:val="0"/>
                <w:lang w:eastAsia="en-NZ"/>
              </w:rPr>
            </w:pPr>
            <w:r w:rsidRPr="00BE00C7">
              <w:rPr>
                <w:rFonts w:cs="Arial"/>
                <w:b w:val="0"/>
                <w:lang w:eastAsia="en-NZ"/>
              </w:rPr>
              <w:t>The information obtained through infection surveillance determines infection control activities, resources and education needs within the facility. Internal IC audits also assist the service in evaluating infection control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documented to address the use of restraints and enablers. Five residents were using restraints (bedsides, low-low beds, and lap belt) and two residents were using enablers (bedsides, lap belt) at the time of the audit. </w:t>
            </w:r>
          </w:p>
          <w:p w:rsidR="00EB7645" w:rsidRPr="00BE00C7" w:rsidP="00BE00C7">
            <w:pPr>
              <w:pStyle w:val="OutcomeDescription"/>
              <w:spacing w:before="120" w:after="120"/>
              <w:rPr>
                <w:rFonts w:cs="Arial"/>
                <w:b w:val="0"/>
                <w:lang w:eastAsia="en-NZ"/>
              </w:rPr>
            </w:pPr>
            <w:r w:rsidRPr="00BE00C7">
              <w:rPr>
                <w:rFonts w:cs="Arial"/>
                <w:b w:val="0"/>
                <w:lang w:eastAsia="en-NZ"/>
              </w:rPr>
              <w:t>One resident file for enabler use (bedsides and a wheelchair lap belt) was selected for review. An assessment was completed, and written consent was provided by the resident. The enablers are reviewed three-monthly. The care plan included sufficient detail around the resident’s use of the enabler and potential risks.</w:t>
            </w:r>
          </w:p>
          <w:p w:rsidR="00EB7645" w:rsidRPr="00BE00C7" w:rsidP="00BE00C7">
            <w:pPr>
              <w:pStyle w:val="OutcomeDescription"/>
              <w:spacing w:before="120" w:after="120"/>
              <w:rPr>
                <w:rFonts w:cs="Arial"/>
                <w:b w:val="0"/>
                <w:lang w:eastAsia="en-NZ"/>
              </w:rPr>
            </w:pPr>
            <w:r w:rsidRPr="00BE00C7">
              <w:rPr>
                <w:rFonts w:cs="Arial"/>
                <w:b w:val="0"/>
                <w:lang w:eastAsia="en-NZ"/>
              </w:rPr>
              <w:t>Staff receive regular education and training around restraint minimisation that begins during their induction to the service. A restraint competency questionnaire is completed by staff each year.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is an RN. He is supported by a designated restraint HCA. Restraint minimisation policies and procedures describe approved restraints. Restraint use is discussed in the monthly RN meetings and in the two-monthly HCA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is responsible for assessing a resident’s need for restraint. Restraint assessments are based on information in the resident’s care plan, discussions with the resident and family and observations by staff. Assessment tools are in place for restraint use. Two residents’ files where restraint was being used were randomly selected for review (one resident using bedsides, and one resident using bedsides and a (as-required) lap belt). Each resident using restraint had a restraint assessment completed. Family signs a consent form for restraint use. The restraint assessment addresses risks associated with restraint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register is being implemented. The register identifies the residents that are using a restraint or an enabler.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assessments reviewed identified that restraint is being used only as a last resort. Alternatives to restraint include perimeter guards, concave mattresses, boundary alarms and duo alarms. The restraint assessment process includes determining the frequency of monitoring while restraint is in use. Restraint policy indicates that all residents are monitored two-hourly at a minimum. Monitoring forms reviewed failed to reflect consistent evidence of monitoring while the restraint was in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use is linked to the residents’ care plans with risks identified.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evaluations take place three-monthly, evidenced in the residents with restraint files reviewed. Restraint use is discussed in staff meetings, confirmed in the meeting minutes.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programme is reviewed annually. The review included identifying trends in restraint use, reviewing restraint minimisation policies and procedures, and reviewing the staff education and restraint competency assessments.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777"/>
        <w:gridCol w:w="1280"/>
        <w:gridCol w:w="4175"/>
        <w:gridCol w:w="1303"/>
        <w:gridCol w:w="14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Of the eight files reviewed, all eight have appropriate assessments completed on which to base the residents long term care plan. Long term care plans are comprehensive and describe the interventions required to care for the residents. Five of eight files reviewed had interRAI assessments and long-term care plans completed within the required time frames. One file reviewed was for a YPD resident therefore an interRAI assessment was not required. Evaluations of care plans are completed three-monthly. Seven of eight care plan evaluations are based on the reviewed interRAI and risk assessments.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One hospital level resident interRAI assessment had not been completed within 21 days of admission.</w:t>
            </w:r>
          </w:p>
          <w:p w:rsidR="00EB7645" w:rsidRPr="00BE00C7" w:rsidP="00BE00C7">
            <w:pPr>
              <w:pStyle w:val="OutcomeDescription"/>
              <w:spacing w:before="120" w:after="120"/>
              <w:rPr>
                <w:rFonts w:cs="Arial"/>
                <w:b w:val="0"/>
                <w:lang w:eastAsia="en-NZ"/>
              </w:rPr>
            </w:pPr>
            <w:r w:rsidRPr="00BE00C7">
              <w:rPr>
                <w:rFonts w:cs="Arial"/>
                <w:b w:val="0"/>
                <w:lang w:eastAsia="en-NZ"/>
              </w:rPr>
              <w:t>ii). Two hospital level residents had not had their long-term care plan developed within 21 days of admission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and ii) Ensure that all assessments and care plans are completed within the required timeframes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2.2.3.4</w:t>
            </w:r>
          </w:p>
          <w:p w:rsidR="00EB7645" w:rsidRPr="00BE00C7" w:rsidP="00BE00C7">
            <w:pPr>
              <w:pStyle w:val="OutcomeDescription"/>
              <w:spacing w:before="120" w:after="120"/>
              <w:rPr>
                <w:rFonts w:cs="Arial"/>
                <w:b w:val="0"/>
                <w:lang w:eastAsia="en-NZ"/>
              </w:rPr>
            </w:pPr>
            <w:r w:rsidRPr="00BE00C7">
              <w:rPr>
                <w:rFonts w:cs="Arial"/>
                <w:b w:val="0"/>
                <w:lang w:eastAsia="en-NZ"/>
              </w:rPr>
              <w:t>Each episode of restraint is documented in sufficient detail to provide an accurate account of the indication for use, intervention, duration, its outcome, and shall include but is not limited to:</w:t>
              <w:br/>
              <w:t>(a) Details of the reasons for initiating the restraint, including the desired outcome;</w:t>
              <w:br/>
              <w:t>(b) Details of alternative interventions (including de-escalation techniques where applicable) that were attempted or considered prior to the use of restraint;</w:t>
              <w:br/>
              <w:t>(c) Details of any advocacy/support offered, provided or facilitated;</w:t>
              <w:br/>
              <w:t>(d) The outcome of the restraint;</w:t>
              <w:br/>
              <w:t>(e) Any injury to any person as a result of the use of restraint;</w:t>
              <w:br/>
              <w:t>(f) Observations and monitoring of the consumer during the restraint;</w:t>
              <w:br/>
              <w:t>(g) Comments resulting from the evaluation of the restraint.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use is documented on a monitoring form although the frequency of monitoring is not consistently as per the frequency determined on the resident’s care plan.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files of three residents using restraint (sample size extended) did not consistently indicate regular (two-hourly) monitoring while the restraint was in use.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frequency of monitoring restraint while in use follows the monitoring requirements as determined in the restraint assessment and resident care plan.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Marne Street Hospital Limited - Marne Street Hospital</w:t>
    </w:r>
    <w:bookmarkEnd w:id="58"/>
    <w:r>
      <w:rPr>
        <w:rFonts w:cs="Arial"/>
        <w:sz w:val="16"/>
        <w:szCs w:val="20"/>
      </w:rPr>
      <w:tab/>
      <w:t xml:space="preserve">Date of Audit: </w:t>
    </w:r>
    <w:bookmarkStart w:id="59" w:name="AuditStartDate1"/>
    <w:r>
      <w:rPr>
        <w:rFonts w:cs="Arial"/>
        <w:sz w:val="16"/>
        <w:szCs w:val="20"/>
      </w:rPr>
      <w:t>7 October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