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Ohinemuri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Ohinemuri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October 2021</w:t>
      </w:r>
      <w:bookmarkEnd w:id="7"/>
      <w:r w:rsidRPr="009418D4">
        <w:rPr>
          <w:rFonts w:cs="Arial"/>
        </w:rPr>
        <w:tab/>
        <w:t xml:space="preserve">End date: </w:t>
      </w:r>
      <w:bookmarkStart w:id="8" w:name="AuditEndDate"/>
      <w:r w:rsidR="00A4268A">
        <w:rPr>
          <w:rFonts w:cs="Arial"/>
        </w:rPr>
        <w:t>13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Ohinemuri Rest Home and Village provides rest home, hospital level and dementia care for up to 68 residents. The service is operated by Oceania Healthcare Limited (Oceania) and managed by a business and care manager supported by a clinical manager. There have been no significant changes to the service and facilities since the previous audit.</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contracts with the district health board. The audit process included review of policies and procedures, review of residents’ and staff files, observations, and interviews with residents, whānau, management, staff, a contracted nurse practitioner, a general practitioner, and other contracted allied health providers.</w:t>
      </w:r>
    </w:p>
    <w:p w:rsidRPr="00A4268A">
      <w:pPr>
        <w:spacing w:before="240" w:line="276" w:lineRule="auto"/>
        <w:rPr>
          <w:rFonts w:eastAsia="Calibri"/>
        </w:rPr>
      </w:pPr>
      <w:r w:rsidRPr="00A4268A">
        <w:rPr>
          <w:rFonts w:eastAsia="Calibri"/>
        </w:rPr>
        <w:t>There are well developed systems that are structured to provide quality care for residents. Implementation and oversight are assisted through the quality and risk management programme which also allows opportunities for residents, whānau and staff to contribute to the programme.</w:t>
      </w:r>
    </w:p>
    <w:p w:rsidRPr="00A4268A">
      <w:pPr>
        <w:spacing w:before="240" w:line="276" w:lineRule="auto"/>
        <w:rPr>
          <w:rFonts w:eastAsia="Calibri"/>
        </w:rPr>
      </w:pPr>
      <w:r w:rsidRPr="00A4268A">
        <w:rPr>
          <w:rFonts w:eastAsia="Calibri"/>
        </w:rPr>
        <w:t>Human resource management processes are applied to an appropriate standard. Staff have appropriate knowledge and skills to deliver care and support to residents and there are opportunities for both in-service and external education and training for staff.</w:t>
      </w:r>
    </w:p>
    <w:p w:rsidRPr="00A4268A">
      <w:pPr>
        <w:spacing w:before="240" w:line="276" w:lineRule="auto"/>
        <w:rPr>
          <w:rFonts w:eastAsia="Calibri"/>
        </w:rPr>
      </w:pPr>
      <w:r w:rsidRPr="00A4268A">
        <w:rPr>
          <w:rFonts w:eastAsia="Calibri"/>
        </w:rPr>
        <w:t>This audit has resulted in no identified areas requiring improvement. Residents and whānau interviewed spoke positively about the service and care provided.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Ohinemuri Rest Home and Village. Opportunities to discuss the Code, consent and availability of advocacy services is provided at the time of admission and thereafter as required.</w:t>
      </w:r>
    </w:p>
    <w:p w:rsidRPr="00A4268A">
      <w:pPr>
        <w:spacing w:before="240" w:line="276" w:lineRule="auto"/>
        <w:rPr>
          <w:rFonts w:eastAsia="Calibri"/>
        </w:rPr>
      </w:pPr>
      <w:r w:rsidRPr="00A4268A">
        <w:rPr>
          <w:rFonts w:eastAsia="Calibri"/>
        </w:rPr>
        <w:t>Services at Ohinemuri Rest Home and Village are provided in a way that respects the choices, personal privacy, independence, individual needs, and dignity of residents. Staff were observed interacting with residents in a respectful manner.</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The business and care manager is responsible for the management of complaints with support from the Oceania support office. Concerns and complaints are documented, addressed, and resolved promptly.</w:t>
      </w:r>
    </w:p>
    <w:p w:rsidRPr="00A4268A">
      <w:pPr>
        <w:spacing w:before="240" w:line="276" w:lineRule="auto"/>
        <w:rPr>
          <w:rFonts w:eastAsia="Calibri"/>
        </w:rPr>
      </w:pPr>
      <w:r w:rsidRPr="00A4268A">
        <w:rPr>
          <w:rFonts w:eastAsia="Calibri"/>
        </w:rPr>
        <w:t>Open communication between staff, residents and whānau is promoted, and confirmed to be effective. There is access to formal interpreting services if required.</w:t>
      </w:r>
    </w:p>
    <w:p w:rsidRPr="00A4268A">
      <w:pPr>
        <w:spacing w:before="240" w:line="276" w:lineRule="auto"/>
        <w:rPr>
          <w:rFonts w:eastAsia="Calibri"/>
        </w:rPr>
      </w:pPr>
      <w:r w:rsidRPr="00A4268A">
        <w:rPr>
          <w:rFonts w:eastAsia="Calibri"/>
        </w:rPr>
        <w:t>Ohinemuri Rest Home and Village has connections with a range of specialist health care providers. This ensures that the services provided to residents are of an appropriate standard.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is the governing body for Ohinemuri Rest Home and Village and is responsible for the services provided. Business and quality and risk management plans include the goals and values of the organisation. Monitoring of the services is provided to Oceania support office and this is regular and effective.</w:t>
      </w:r>
    </w:p>
    <w:p w:rsidRPr="00A4268A">
      <w:pPr>
        <w:spacing w:before="240" w:line="276" w:lineRule="auto"/>
        <w:rPr>
          <w:rFonts w:eastAsia="Calibri"/>
        </w:rPr>
      </w:pPr>
      <w:r w:rsidRPr="00A4268A">
        <w:rPr>
          <w:rFonts w:eastAsia="Calibri"/>
        </w:rPr>
        <w:t>An experienced and suitably qualified business and care manager manages the facility, supported by a clinical manager, with additional support from the regional quality manager. The business and care manager is an experienced registered nurse with previous management experience. The clinical manager is an experienced registered nurse who is responsible for clinical management and oversight of care services. The clinical manager is supported by a team of registered nurses and the regional clinical quality manager.</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The facility uses an organisation-wide electronic system to record and monitor key quality indicators, including complaints, and organisational performance. Staff are involved and feedback is sought from residents and whānau. Adverse events are documented with corrective actions implemented. Actual and potential risks, including health and safety risks, are identified and mitigated. Policies and procedures support service delivery, they are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Annual practising certification for those who require them to practice are current. A systematic approach to identify and deliver ongoing training supports safe service delivery and includes regular individual performance review.</w:t>
      </w:r>
    </w:p>
    <w:p w:rsidRPr="00A4268A">
      <w:pPr>
        <w:spacing w:before="240" w:line="276" w:lineRule="auto"/>
        <w:rPr>
          <w:rFonts w:eastAsia="Calibri"/>
        </w:rPr>
      </w:pPr>
      <w:r w:rsidRPr="00A4268A">
        <w:rPr>
          <w:rFonts w:eastAsia="Calibri"/>
        </w:rPr>
        <w:t>Staffing levels are adequate across the service and the skill mix meets the changing needs of residents. Registered nurses are on duty 24 hours per day, seven days per week. All but two of the staff have current first aid certification.</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Ohinemuri liaises with the local Needs Assessment and Service Coordination Service, to ensure access to their facility is appropriate and efficiently managed. When a vacancy occurs, information is provided to the potential resident/whānau to facilitate the admission.</w:t>
      </w:r>
    </w:p>
    <w:p w:rsidRPr="00A4268A" w:rsidP="00621629">
      <w:pPr>
        <w:spacing w:before="240" w:line="276" w:lineRule="auto"/>
        <w:rPr>
          <w:rFonts w:eastAsia="Calibri"/>
        </w:rPr>
      </w:pPr>
      <w:r w:rsidRPr="00A4268A">
        <w:rPr>
          <w:rFonts w:eastAsia="Calibri"/>
        </w:rPr>
        <w:t>Residents’ needs are assessed by the multidisciplinary team on admission within the required timeframes. Shift handovers and communication sheets guide continuity of care.</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whānau interviewed reported being kept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The planned activity programme is overseen by two activities coordinators, and an activities assistant. The programme provides residents with a variety of individual and group activities and maintains their links with the community. A facility van is available for outings.</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Ohinemuri Rest Home and Village has systems in place to meet the needs of residents, it is clean and well maintained. There is a current building warrant of fitness. Electrical equipment and hot water temperatures are tested as required.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Cleaning and laundry services are completed on site and are well monitored through the internal auditing system.</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Oceania has a restraint policy that documents enabler and restraint procedures. The policy contains a comprehensive assessment, approval, and monitoring process with a requirement for regular review. Use of enablers is voluntary for the safety of residents in response to individual requests. No enablers or restraints were in use at the time of audit and restraint has not been used for the last five years. Staff are trained in restraint minimisation and challenging behaviour management and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Waikato District Health Board.</w:t>
      </w:r>
    </w:p>
    <w:p w:rsidRPr="00A4268A">
      <w:pPr>
        <w:spacing w:before="240" w:line="276" w:lineRule="auto"/>
        <w:rPr>
          <w:rFonts w:eastAsia="Calibri"/>
        </w:rPr>
      </w:pPr>
      <w:r w:rsidRPr="00A4268A">
        <w:rPr>
          <w:rFonts w:eastAsia="Calibri"/>
        </w:rPr>
        <w:t>The programme is reviewed annually.</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analysed, trended, and benchmarked.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87"/>
        <w:gridCol w:w="1280"/>
        <w:gridCol w:w="92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Ohinemuri Rest Home and Village (Ohinemuri)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The two residents’ files reviewed in the secure unit evidenced a court appointed Protection of Personal and Property Rights (PPPR) order in place.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displayed in the reception area, and additional brochures were available. Whānau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whānau and the community by attending a variety of organised outings, visits, shopping trips, activities, and entertainment. Outings and visiting has been restricted due to Covid-19 alert level restrictions.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during this time, limited visiting hours. Whānau interviewed stated they felt welcome when they visited and comfortable in their dealings with staff. Contact with families, during these restrictions, is maintained with phone calls, Zoom, FaceTime, and emails.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make a complaint should they choose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four complaints have been received over the past year and that actions taken, through to an agreed resolution, are documented and completed within the appropriate timeframe. Complaints related to food (three) and one from a neighbour in relation to staff entering and exiting the facility. Action plans show any required follow up and improvements or corrections have been made. The BCM is responsible for complaints management and follow up with support from the Oceania support office. All staff interviewed confirmed an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whānau of residents when interviewed, reported being made aware of the Code and the Nationwide Health and Disability Advocacy Service (Advocacy Service) as part of the admission information provided and of discussion with staff. The Code is displayed in the reception area, together with information on advocacy services, how to access the interpreter services, how to make a complaint, and how to provide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whānau confirmed that the services they receive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whānau, the general practitioner (GP) or the nurse practitioner (NP).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Except at the time whereby Covid-19 restrictions are imposed on visiting and outings, residents are encouraged to maintain their independence by participating in community activities, regular outings to the local shops or areas of interest, and participation in clubs of their choosing. Each resident’s care plan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and 12 staff at Ohinemuri who identified as Māori at the time of audit. One staff member is fluent in te reo, performs pōwhiri when appropriate and blesses residents’ rooms as cultural needs dictate.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that identifies the interventions required to meet the individuals’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whānau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those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whānau when interviewed, stated that residents were free from any type of discrimination, harassment or exploitation and felt safe. A GP and NP also expressed satisfaction with the standard of services provided to residents of Ohinemuri.</w:t>
            </w:r>
          </w:p>
          <w:p w:rsidR="00EB7645" w:rsidRPr="00BE00C7" w:rsidP="00BE00C7">
            <w:pPr>
              <w:pStyle w:val="OutcomeDescription"/>
              <w:spacing w:before="120" w:after="120"/>
              <w:rPr>
                <w:rFonts w:cs="Arial"/>
                <w:b w:val="0"/>
                <w:lang w:eastAsia="en-NZ"/>
              </w:rPr>
            </w:pPr>
            <w:r w:rsidRPr="00BE00C7">
              <w:rPr>
                <w:rFonts w:cs="Arial"/>
                <w:b w:val="0"/>
                <w:lang w:eastAsia="en-NZ"/>
              </w:rPr>
              <w:t>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encourages and promotes good practice through evidence-based policies, regular in-service training sessions, Grow, Educate and Motivate (GEM) study days, online training forums, and input from external specialist services and allied health professionals, for example, hospice/palliative care team, diabetes nurse specialist, physiotherapist, wound care specialist, district nurses, mental health services for older persons, speech language therapists and education of staff. The GP and NP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providing quality wound management strategies. Two complex wounds and two stage three pressure injuries were observed to have nearly healed following the commencement of wound management by Ohinemuri. An interview with the district nurse verified a high degree of satisfaction with the wound care provided by the staff at Ohinemuri.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employs its own NP, who oversees several of the resident’s medical care. The NP accesses medical advice when necessary. The NP also provides in-service training to staff at Ohinemuri, and guidance with nursing management strategies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whānau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resident/whānau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an outside agency when required. The phone number of this service was on display at the reception area.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r w:rsidRPr="00BE00C7">
              <w:rPr>
                <w:rFonts w:cs="Arial"/>
                <w:b w:val="0"/>
                <w:lang w:eastAsia="en-NZ"/>
              </w:rPr>
              <w:t>A facility newsletter is produced every two months and informs residents and whānau of any changes or updates. Communication through times of Covid-19 alert level that limit visiting included Zoom, FaceTime contact, emails, and phone calls.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Ohinemuri is part of the Oceania Healthcare Limited group, the executive management team provide oversight and support to the facility. The business plan, which is reviewed annually, outlines the values and goals of the organisation. The documents describe annual and longer-term objectives and the associated operational plans necessary to achieve them. A sample of monthly reports showed adequate information to monitor performance is reported including clinical quality indicators, complaints, incidents/accidents, hazards, financial performance, emerging risks and issues (e.g., infection control and pandemic planning).</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business and care manager (BCM) who holds relevant qualifications and has been in the role for four and a half years. The clinical manager (CM) who has worked for the facility for 27 years and been the CM for five, is responsible for oversight of clinical matters. Facility management is supported by the regional quality manager and the regional clinical quality manager. The BCM and CM maintain knowledge of the sector, regulatory and reporting requirements and maintains currency through regional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aged-related residential care (ARRC), long-term chronic health conditions (under 65), dementia care (D3), palliative care, respite, day care, and post-acute convalescent care (PACC). On the day of audit there were 66 residents; 49 residents were receiving services under the ARRC contract, 12 under the dementia care contract, two under the long-term chronic health conditions contract (under 65), three respite (two under PACC funding and one private paying).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BCM is absent, the CM carries out all the required duties under delegated authority. During absences of key clinical staff, the clinical management is overseen by a senior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adverse events such as incidents and accidents and hazards, internal audit activities, complaints, a regular resident/whānau and staff satisfaction survey, and monitoring of outcomes of clinical issues including falls, infections, pressure injury, wounds, and any health and safety issues (such as staff incidents). Restraint is reported as a zero-value given the facility has not used restraint for the last five years. Adverse events are documented on a register and investigated. Corrective actions are identified and signed off when mitigation or eliminations strategies have been completed. All adverse event information is reported to the support office on a monthly basis and benchmarked across other Oceania facilities.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staff and quality meetings. Staff reported their involvement in quality and risk management activities through input into the quality meetings and through audit activities. Relevant corrective actions are developed and implemented to address any shortfalls.</w:t>
            </w:r>
          </w:p>
          <w:p w:rsidR="00EB7645" w:rsidRPr="00BE00C7" w:rsidP="00BE00C7">
            <w:pPr>
              <w:pStyle w:val="OutcomeDescription"/>
              <w:spacing w:before="120" w:after="120"/>
              <w:rPr>
                <w:rFonts w:cs="Arial"/>
                <w:b w:val="0"/>
                <w:lang w:eastAsia="en-NZ"/>
              </w:rPr>
            </w:pPr>
            <w:r w:rsidRPr="00BE00C7">
              <w:rPr>
                <w:rFonts w:cs="Arial"/>
                <w:b w:val="0"/>
                <w:lang w:eastAsia="en-NZ"/>
              </w:rPr>
              <w:t>Resident/whānau satisfaction surveys are completed annually, the most recent one in August 2021. The results from this survey showed the respondents were primarily positive about the service with most respondents scoring the service at Ohinemuri as “satisfied” or “very satisfied” on a Likert scale, corrective actions were identified for results that fell below the median. A staff satisfaction survey from November 2019 was very positive, results showing that staff were positive or very positive across nearly all criteria, particularly the vision, leadership, teamwork, and care standards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Policies and procedures are distributed for staff who sign to indicate that they have read and understood the documents.</w:t>
            </w:r>
          </w:p>
          <w:p w:rsidR="00EB7645" w:rsidRPr="00BE00C7" w:rsidP="00BE00C7">
            <w:pPr>
              <w:pStyle w:val="OutcomeDescription"/>
              <w:spacing w:before="120" w:after="120"/>
              <w:rPr>
                <w:rFonts w:cs="Arial"/>
                <w:b w:val="0"/>
                <w:lang w:eastAsia="en-NZ"/>
              </w:rPr>
            </w:pPr>
            <w:r w:rsidRPr="00BE00C7">
              <w:rPr>
                <w:rFonts w:cs="Arial"/>
                <w:b w:val="0"/>
                <w:lang w:eastAsia="en-NZ"/>
              </w:rPr>
              <w:t>Both the BCM and CM described the processes for the identification, monitoring, review and reporting of risks, and development of mitigation strategies. The BCM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reported to Oceania support office, and benchmarked across other facilities within the group. Whānau interviews supported that any untoward events were disclosed to them in an open and honest manner.</w:t>
            </w:r>
          </w:p>
          <w:p w:rsidR="00EB7645" w:rsidRPr="00BE00C7" w:rsidP="00BE00C7">
            <w:pPr>
              <w:pStyle w:val="OutcomeDescription"/>
              <w:spacing w:before="120" w:after="120"/>
              <w:rPr>
                <w:rFonts w:cs="Arial"/>
                <w:b w:val="0"/>
                <w:lang w:eastAsia="en-NZ"/>
              </w:rPr>
            </w:pPr>
            <w:r w:rsidRPr="00BE00C7">
              <w:rPr>
                <w:rFonts w:cs="Arial"/>
                <w:b w:val="0"/>
                <w:lang w:eastAsia="en-NZ"/>
              </w:rPr>
              <w:t>Both the BCM and the CM were able to describe essential notification reporting requirements, including for pressure injuries. They advised there has been one notification of a significant event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There is a process in place to collect details of Covid-19 vaccination status and most staff are vaccinated.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including mandatory training requirements. Care staff working in the dementia care area have either completed or commenced a New Zealand Qualification Authority (NZQA) education programme within an appropriate timeframe to meet the requirements of the provider’s agreement with the DHB. An external education programme that meets NZQA qualification is available to all staff. Ohinemuri has an activities coordinator and senior health care assistant as assessors for the external education programme. There are sufficient trained and competent RNs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and the RNs on duty are able to extend short-shift hours based on resident acuity within their shift. An afterhours on call roster is in place, with staff reporting that good access to advice is available when needed.</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were enough staff available to complete the work allocated to them. Residents and whānau interviewed supported this. Observations and review of a four-week roster cycle confirmed adequate staff cover has been provided, with staff replaced in any unplanned absence. The facility has two RNs on the morning shift, supported by nine caregivers, in the afternoon one RN supported by eight caregivers, and on night duty one RN and four caregivers. There are sufficient RNs with experience, including the CM, to support RN staff new to the role. At least one staff member on duty has a current first aid certificate (61 of 63 staff have first aid certification) and there is 24 hour/seven days a week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NP, and allied health service provider notes. Records are electronic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Ohinemuri when their required level of care has been assessed and confirmed by the local Needs Assessment and Service Coordination (NASC) Service. Prospective residents and/or their families are encouraged to visit the facility prior to admission and meet with the BCM or the CM.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Whānau interviewed stated they were satisfied with the admission process and the information that had been made available to them on admission. Files reviewed contained completed demographic detail, assessments, and signed admission agreements in accordance with contractual requirements. Residents in the secure unit had a specialist authorisation for placement in the unit, a PPPR order, or an Enduring Power of Attorney (EPOA) that had been activated. The admission agreement sighted in the two resident files reviewed in the secure unit, were signed by the court appointed guardian.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Waikato District Health Board’s (WDHB) ‘yellow envelope’ system to facilitate transfer of residents to and from acute care services. There is open communication between all services, the resident, and whānau. At the time of transition between services, appropriate information, including medication records and the care plan is provided for the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These medications are checked by a RN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or NP review is consistently recorded on the electronic medicine chart.</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medications at the time of audit. Appropriate processes are in place to ensure this can be managed in a safe manner if residents choose to self-administer medications</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RN and CM and recorded on an accident/incident form. The resident and/or the designated representative are advised. There is a process for comprehensive analysis of any medication errors, and compliance with this process was verified.</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Ohinemuri.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was reviewed by a qualified dietitian on 6 October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with a verification audit having taken place on 7 May 2021. Four areas requiring corrective action were attended to on the day of audit. The food control plan is verified to expire in 18 months on 6 November 2022.</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24 hours a day.</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whānau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Ohinemuri are initially assessed using a range nursing assessment tool such as pain scale, falls risk, skin integrity, nutritional screening, and behaviour assessments to identify any deficits and to inform initial care planning. Except for the respite residents,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in the secure unit had behaviour assessments in place that informed the behaviour management plans.</w:t>
            </w:r>
          </w:p>
          <w:p w:rsidR="00EB7645" w:rsidRPr="00BE00C7" w:rsidP="00BE00C7">
            <w:pPr>
              <w:pStyle w:val="OutcomeDescription"/>
              <w:spacing w:before="120" w:after="120"/>
              <w:rPr>
                <w:rFonts w:cs="Arial"/>
                <w:b w:val="0"/>
                <w:lang w:eastAsia="en-NZ"/>
              </w:rPr>
            </w:pPr>
            <w:r w:rsidRPr="00BE00C7">
              <w:rPr>
                <w:rFonts w:cs="Arial"/>
                <w:b w:val="0"/>
                <w:lang w:eastAsia="en-NZ"/>
              </w:rPr>
              <w:t>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verifies the RNs are familiar with requirement for reassessment of a resident using the interRAI assessment tool when a resident has increasing or changing need levels.</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five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Files reviewed of residents in the secure unit had a behaviour management plan in place, that identified triggers to behaviours, and strategies to deescalate those behaviours. The unit was observed to be one where residents’ behaviours were well managed. Residents were observed interacting with staff and each other in an orderly and pleasurable manner. No evidence of distress was observed.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Any change in care required was documented and verbally passed on to relevant staff. Residents and whānau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and NP when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recreation coordinators and a recreation assistant, seven days a week. The activities programme provided in the secure unit is reviewed monthly by a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an exercise programme, current affairs, dance exercises, quiz sessions, musical bingo, singalongs, and floor games. The activities programme is discussed at the residents’ and whānau meetings (when not cancelled due to Covid-19 restrictions). Minutes of meetings indicate residents’ and whānau input is sought and responded to. Resident and whānau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activity plans sighted for residents in the secure unit, identify the residents 24 hour needs and the appropriate management strategies to meet those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initially evaluated three weeks post admission, with a resident and whānau interview, to ensure all the residents’ needs are being met.</w:t>
            </w:r>
          </w:p>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Short-term care plans are consistently reviewed for infections, pain, weight loss and progress evaluated as clinically indicated. Wound management plans are evaluated each time the dressing is changed. Behaviour management plans are reviewed each time there is an episode of a behaviour that becomes a challenge. Residents and 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NP with oversight from a GP as the main medical provider, residents may choose to use another medical practitioner. If the need for other non-urgent services is indicated or requested, the GP, NP or RN sends a referral to seek specialist input. Copies of referrals were sighted in residents’ files, including to older persons’ mental health services. Referrals are followed up on a regular basis by the RN, NP, or the GP. The resident and 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as necessary. An external company is contracted to supply and manage all chemicals and cleaning products and they also provide relevant training for staff. Domestic, kitchen and care staff have access to chemical training and management of chemicals. Material safety data sheets (MSDS) were available where chemicals are stored, and staff interviewed knew what to do should any chemical spill/event occur. Chemicals are correctly labelled and stored securely.</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 significant amount of personal protective clothing and equipment.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31 May 2022, is publicly displayed. All legislative requirements were met.</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monitoring of hot water temperatures, and calibration of biomedical equipment is current as confirmed in documentation reviewed, interviews with the BCM and maintenance person, and observation of the environment. Efforts are made to ensure the environment is hazard free and that residents and staff are safe. Corridors are wide enough to accommodate residents, staff, and any equipment. Independence of residents is promoted at every opportunity; external areas are maintained and are appropriate to the resident groups and setting. One external area has been refurbished to a high standard, it features a decking and a garden area and in-built seating and shade. The dementia unit garden area is secure. Where residents are transported in the facility vehicle, there are policies and procedures in place to minimise risk.</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is required, any requests are appropriately actioned. Residents and whānau interviewed reported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In the rest home there is one room with shared ensuite facilities, plus eight further toilets, five showers and three washrooms. The hospital has four showers and five toilets and the dementia care area three toilets and two showers. There are six dual purpose rooms, which can be rest home or hospital, with shared ensuite facilities. Shower and toilet facilities between the rest home and hospital areas can be accessed depending on proximity. There is easy access to toilet facilities from communal areas. Appropriately secured and approved handrails are provided in the toilet/shower areas, and other equipment/accessories are available to promote resident independence. There are separate toilet facilities for staff and visitors and shower facilities for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and whānau reported that there are sufficient toilets and showers. Auditors observed residents being supported to access communal toilets and showers in ways that showed respect and maintenance of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in the bedrooms to allow residents and staff to safely move around in the room. All bedrooms provide single accommodation and there was sufficient space in hospital level rooms for equipment such as hoists or wheelchairs, at least two staff, and the resident. Rooms are personalised with furnishings, photos, and other personal possessions. Residents are encouraged to make the room their own and staff and residents reported the adequacy of room space.</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and wheelchairs in the resident’s room. Mobility scooters are stored and charged overnight adjacent to the facility in a purpose built ‘garage’ and brought into the facility each day or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dining and social activities. The dining and lounge areas are spacious and enable easy access for residents and staff. Visitors and residents, including the younger disabled (YPD) resident, are able to access areas for privacy as required. Furniture is appropriate to the setting and arranged in a manner which allows residents to mobilise freely.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24 May 2010. A trial evacuation takes place six-monthly with a copy sent to the New Zealand Fire Service, the most recent being on 26 September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(40,000 litres), blankets, mobile phones and gas BBQ’s were sighted and meet the requirements of residents. Water storage tanks are located outside the facility. Emergency lighting is regularly tested. Staff records sampled provided evidence of current training regarding fire, emergency, and security education.</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call bell system in place that is used by the residents, whānau and staff members to summon assistance. All residents have access to a call bell, and these are checked monthly by the maintenance person. Residents and whānau confirmed that staff respond to calls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there is a closed-circuit television and video (CCTV) system monitoring external spaces for added security. Whānau and residents, including YPD, know the process of alerting staff when in need of access to the facility after hours.</w:t>
            </w:r>
          </w:p>
          <w:p w:rsidR="00EB7645" w:rsidRPr="00BE00C7" w:rsidP="00BE00C7">
            <w:pPr>
              <w:pStyle w:val="OutcomeDescription"/>
              <w:spacing w:before="120" w:after="120"/>
              <w:rPr>
                <w:rFonts w:cs="Arial"/>
                <w:b w:val="0"/>
                <w:lang w:eastAsia="en-NZ"/>
              </w:rPr>
            </w:pPr>
            <w:r w:rsidRPr="00BE00C7">
              <w:rPr>
                <w:rFonts w:cs="Arial"/>
                <w:b w:val="0"/>
                <w:lang w:eastAsia="en-NZ"/>
              </w:rPr>
              <w:t>There is a visitors' policy and guidelines available to ensure resident safety and wellbeing is not compromised by visitors to the service. Visitors and contractors are required to sign in and out of visitors’ registers.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underfloor heating with heat pumps in communal areas. Areas were warm and well ventilated throughout the audit and residents and whānau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There is access to outside garden spaces from communal areas including a designated external smoking area away from doors and windows that complies with current legislation.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Ohinemuri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CM.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CM is the designated infection control nurse, whose role and responsibilities are defined in a job description. Infection control matters, including surveillance results, are reported monthly to the CM and BCM, and tabled at the infection control, quality/risk, staff, RN and Health and Safety meetings. Infection control statistics are entered in the organisation’s electronic database and benchmarked within the organisation’s other facilities. The organisations infection control team are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At the time of audit, visiting was restricted due to the Covid-19 alert level at that time. All visitors fill out a declaration regarding potential exposure to Covid-19, and were temperature checked. Anyone deemed high risk were prevented from visiting.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however, has been in this role for only a short time and is being assisted by the CM. The ICN has undertaken training in infection prevention and control and attended relevant study days, as verified in training records sighted. Well-established local networks with the infection control team at the WDHB are available, as is advice from the organisation’s infection control team.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and CM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 the requirements of the IPC standard and current accepted good practice. Policies were reviewed within the last year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r w:rsidRPr="00BE00C7">
              <w:rPr>
                <w:rFonts w:cs="Arial"/>
                <w:b w:val="0"/>
                <w:lang w:eastAsia="en-NZ"/>
              </w:rPr>
              <w:t>A Covid-19 pandemic plan and an outbreak management plan is in place at Ohinemuri.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GEM training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infections at Ohinemuri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The ICN and CM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The number of infections at Ohinemuri was observed to be low.</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Norovirus outbreak over the past year, in May 2020.</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Ohinemuri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is the CM. The coordinator is aware of the role responsibilities and is available to provide support and oversight for enabler and restraint management in the facility should this be required.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no residents using restraints or enablers. The service has not used restraints for the last five years, using instead low beds and alarm mats to support resident safety. The restraint coordinator advised that if restraint was to be used, it would be used as a last resort when all alternatives have been explored. The restraint approval group still meets but, in the absence of restraint, this is generally to make sure that all staff receive appropriate education on behaviour management and enabler and restraint processes. Education on behaviour management and enabler/restraint use was confirmed by staff interviewed.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Ohinemuri Rest Home and Village</w:t>
    </w:r>
    <w:bookmarkEnd w:id="58"/>
    <w:r>
      <w:rPr>
        <w:rFonts w:cs="Arial"/>
        <w:sz w:val="16"/>
        <w:szCs w:val="20"/>
      </w:rPr>
      <w:tab/>
      <w:t xml:space="preserve">Date of Audit: </w:t>
    </w:r>
    <w:bookmarkStart w:id="59" w:name="AuditStartDate1"/>
    <w:r>
      <w:rPr>
        <w:rFonts w:cs="Arial"/>
        <w:sz w:val="16"/>
        <w:szCs w:val="20"/>
      </w:rPr>
      <w:t>12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