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North Health Limited - Hummingbird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North Health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Hummingbird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August 2021</w:t>
      </w:r>
      <w:bookmarkEnd w:id="7"/>
      <w:r w:rsidRPr="009418D4">
        <w:rPr>
          <w:rFonts w:cs="Arial"/>
        </w:rPr>
        <w:tab/>
        <w:t xml:space="preserve">End date: </w:t>
      </w:r>
      <w:bookmarkStart w:id="8" w:name="AuditEndDate"/>
      <w:r w:rsidR="00A4268A">
        <w:rPr>
          <w:rFonts w:cs="Arial"/>
        </w:rPr>
        <w:t>11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Hummingbird House currently provides rest home level care and dementia care for up to 22 residents. The service is operated by North Health Ltd (the owners) and is managed by a manager who is also a registered nurse, with support from an RN. There are plans to change the facility to dementia level care only for up to 43 residents, however this is still in the planning and approval stages with no definitive timeframes.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relevant policies and procedures, review of residents’ and staff files, observations and interviews with residents, family members, managers, staff, and a nurse practitioner form the local medical centre.  </w:t>
      </w:r>
    </w:p>
    <w:p w:rsidRPr="00A4268A">
      <w:pPr>
        <w:spacing w:before="240" w:line="276" w:lineRule="auto"/>
        <w:rPr>
          <w:rFonts w:eastAsia="Calibri"/>
        </w:rPr>
      </w:pPr>
      <w:r w:rsidRPr="00A4268A">
        <w:rPr>
          <w:rFonts w:eastAsia="Calibri"/>
        </w:rPr>
        <w:t>This audit has resulted in five areas identified as requiring improvement relating to medication charts and care planning for the current facility and fire evacuation plan approval, laundry documentation and painting relating to the new staff bathroom area for the yet to be occupied new dementia unit . Improvements from the previous certification audit and the recent partial provisional audit around chemical storage, inside seating, outside access and the display of the current building warrant of fitness have all been completed.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scope,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before entry to the service to confirm their level of care. The registered nurses (RNs) are responsible for the assessment, development, and evaluation of care plans. Care plans are individualised and based on the residents’ assessed needs. Interventions are appropriate and evaluated promptly. Twenty-four behaviour management plans are developed as required.</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Activity plans are completed in consultation with family/whanau, residents, and staff.  Residents and family/whānau expressed satisfaction with the activities programme in place.</w:t>
      </w:r>
    </w:p>
    <w:p w:rsidRPr="00A4268A" w:rsidP="00621629">
      <w:pPr>
        <w:spacing w:before="240" w:line="276" w:lineRule="auto"/>
        <w:rPr>
          <w:rFonts w:eastAsia="Calibri"/>
        </w:rPr>
      </w:pPr>
      <w:r w:rsidRPr="00A4268A">
        <w:rPr>
          <w:rFonts w:eastAsia="Calibri"/>
        </w:rPr>
        <w:t>There is a medicine management system in place. The organisation uses an electronic system in e-prescribing, dispensing, and administration of medications. The general practitioner (GP) is responsible for all medication reviews. Staff involved in medication administration are assessed as competent to do so.</w:t>
      </w:r>
    </w:p>
    <w:p w:rsidRPr="00A4268A"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was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or  restraints are in use at the time of audit.  A comprehensive assessment, approval and monitoring process with regular reviews occurs if required.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and associated activities are appropriate for the size and complexity of the service and are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78"/>
        <w:gridCol w:w="1280"/>
        <w:gridCol w:w="92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complaints/compliments policy and associated forms meet the requirements of Right 10 of the Code of Health and Disability Services Consumers’ Rights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had been kept appropriately since February 2021 when the new owners took over running of the facility. Previous records were unable to be located by the current staff. The register showed that no complaints have been received over the six months since ownership changes at the facility but four concerns had been directly sent to the DHB, who had put them through their own complaints system, with copies of all actions through to the  agreed resolution sent to the facility. Most were concerning the construction work in progress which the manager is actively managing with the least possible disruption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new ownership was finalised.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family members stated they were kept well informed about any changes to their/their relative’s health status, were advised in a timely manner about any incidents or accidents and outcomes of regular and any urgent medical reviews This was supported in residents’ records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health and medical information is collected to facilitate the effective care of residents. Each resident had a family or next of kin contact log in their records.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required the services of an interpreter; however staff knew how to access interpreter services if required. Staff can provide interpretation as and when needed and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 business plan for 2019 - 2021 was reviewed. It clearly outlines the purpose, values, scope, direction and goals of the organisation. The documents described annual and longer term objectives and the associated operational plans. The manager meets at least fortnightly with one of the owners where the documents showed adequate information to monitor performance is reported, including emerging risks and issues and monitoring of quality with relevant trends.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holds relevant qualifications. The person has been contracted in the role for two months but has been with the facility in the capacity as an RN with the previous owners and as a co-manager with the current owners. Responsibilities and accountabilities are defined in a job description and individual employment agreement. The manager confirmed knowledge of the sector, regulatory and reporting requirements and has met the required professional development hours to maintain an APC. The manager is also active in a group working with other regional providers.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active contracts with the DHB, MoH and ACC for aged residential care (rest home level), and secure dementia services, which also includes respite, and a respite care contract with ACC. Twenty one residents were receiving services under the contract (10 under the dementia care contract, 10 under the aged residential care contract and one under the ACC respite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and clinical incidents including infections and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staff meetings, which also include all the quality data. Staff reported their involvement in quality and risk management activities through audit activities and the training programme. </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are developed and implemented to address any shortfalls. Resident and family satisfaction surveys are completed annually. The most recent survey did not raise any specific issues. As the facility is very small, interaction with families is regular and resident meetings occur, so any issues are dealt with through those channels effectively.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owner as well as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essential notification reporting requirements, including for pressure injuries.  They advised there has been one Section 31 notification of a significant event made to the Ministry of Health. This has been resolved appropriately.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Most care staff have either completed or commenced a New Zealand Qualification Authority education programme to meet the requirements of the provider’s agreement with the DHB. A staff member is the internal assessor for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working in the dementia care area have either completed or are enrolled in the required education. Five have completed the training and two more are enrolled. </w:t>
            </w:r>
          </w:p>
          <w:p w:rsidR="00EB7645" w:rsidRPr="00BE00C7" w:rsidP="00BE00C7">
            <w:pPr>
              <w:pStyle w:val="OutcomeDescription"/>
              <w:spacing w:before="120" w:after="120"/>
              <w:rPr>
                <w:rFonts w:cs="Arial"/>
                <w:b w:val="0"/>
                <w:lang w:eastAsia="en-NZ"/>
              </w:rPr>
            </w:pPr>
            <w:r w:rsidRPr="00BE00C7">
              <w:rPr>
                <w:rFonts w:cs="Arial"/>
                <w:b w:val="0"/>
                <w:lang w:eastAsia="en-NZ"/>
              </w:rPr>
              <w:t>There is a trained and competent registered nurse who is maintaining annual competency requirements to undertake interRAI assessments. Records reviewed demonstrated completion of the required training and completion of annual performance appraisals. Not all staff files had performance appraisal information available from the previous owner but any staff who had not already completed these this year, were scheduled to have these in the next two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two four-week roster cycles confirmed adequate staff cover has been provided, with staff replaced in any unplanned absence.  At least one staff member on duty has a current first aid certificate or is in the process of updating their current ones.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Indications for use are noted for pro re nata (PRN) medications, allergies are indicated, and photos were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competencies were completed annually for all staff administering medication. </w:t>
            </w:r>
          </w:p>
          <w:p w:rsidR="00EB7645" w:rsidRPr="00BE00C7" w:rsidP="00BE00C7">
            <w:pPr>
              <w:pStyle w:val="OutcomeDescription"/>
              <w:spacing w:before="120" w:after="120"/>
              <w:rPr>
                <w:rFonts w:cs="Arial"/>
                <w:b w:val="0"/>
                <w:lang w:eastAsia="en-NZ"/>
              </w:rPr>
            </w:pPr>
            <w:r w:rsidRPr="00BE00C7">
              <w:rPr>
                <w:rFonts w:cs="Arial"/>
                <w:b w:val="0"/>
                <w:lang w:eastAsia="en-NZ"/>
              </w:rPr>
              <w:t>There were no expired or unwanted medicines and expired medicines are returned to the pharmacy in a timely manner. Medications were stored safely and securely in the trolley and locked treatment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care assistant was observed administering medications safely and correctly.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Self-administration medication is not encouraged due to the residents’ impaired cognitive state in the dementia wing. </w:t>
            </w:r>
          </w:p>
          <w:p w:rsidR="00EB7645" w:rsidRPr="00BE00C7" w:rsidP="00BE00C7">
            <w:pPr>
              <w:pStyle w:val="OutcomeDescription"/>
              <w:spacing w:before="120" w:after="120"/>
              <w:rPr>
                <w:rFonts w:cs="Arial"/>
                <w:b w:val="0"/>
                <w:lang w:eastAsia="en-NZ"/>
              </w:rPr>
            </w:pPr>
            <w:r w:rsidRPr="00BE00C7">
              <w:rPr>
                <w:rFonts w:cs="Arial"/>
                <w:b w:val="0"/>
                <w:lang w:eastAsia="en-NZ"/>
              </w:rPr>
              <w:t>Outcomes of PRN medication were consistently documented.  Administration records are maintained, and drug incident forms are completed in the event of any drug errors.</w:t>
            </w:r>
          </w:p>
          <w:p w:rsidR="00EB7645" w:rsidRPr="00BE00C7" w:rsidP="00BE00C7">
            <w:pPr>
              <w:pStyle w:val="OutcomeDescription"/>
              <w:spacing w:before="120" w:after="120"/>
              <w:rPr>
                <w:rFonts w:cs="Arial"/>
                <w:b w:val="0"/>
                <w:lang w:eastAsia="en-NZ"/>
              </w:rPr>
            </w:pPr>
            <w:r w:rsidRPr="00BE00C7">
              <w:rPr>
                <w:rFonts w:cs="Arial"/>
                <w:b w:val="0"/>
                <w:lang w:eastAsia="en-NZ"/>
              </w:rPr>
              <w:t>GP three monthly reviews are not occurring as required. Medication room temperatures are not being monitored. Six-monthly controlled drug stock takes are not being completed as per policy and legislation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service complies with current food safety legislation and guidelines. The food service is currently managed by one cook. The other cook resigned and the position was under recruitment. The food service is registered with current food control plan in place expiring on 9 August 2022. Meal services are prepared on-site and served in the respective wings. The menu was reviewed by the registered dietitian on 30 June 2021. The kitchen staff have current food handling certificates. </w:t>
            </w:r>
          </w:p>
          <w:p w:rsidR="00EB7645" w:rsidRPr="00BE00C7" w:rsidP="00BE00C7">
            <w:pPr>
              <w:pStyle w:val="OutcomeDescription"/>
              <w:spacing w:before="120" w:after="120"/>
              <w:rPr>
                <w:rFonts w:cs="Arial"/>
                <w:b w:val="0"/>
                <w:lang w:eastAsia="en-NZ"/>
              </w:rPr>
            </w:pPr>
            <w:r w:rsidRPr="00BE00C7">
              <w:rPr>
                <w:rFonts w:cs="Arial"/>
                <w:b w:val="0"/>
                <w:lang w:eastAsia="en-NZ"/>
              </w:rPr>
              <w:t>Diets are modified as required and the cook confirmed awareness of the dietary needs of the residents. The residents have a nutritional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family/whānau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files reviewed evidenced that care plans developed had interventions that were adequate to address the identified needs of residents. Significant changes were reported in a timely manner and prescribed orders were carried out. The RN reported that the GP’s medical input was sought within an appropriate timeframe, that medical orders were followed, and care was person-centred.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leader (CNL) at the medical practice that attends to residents from the service was interviewed in place of the GP who was away on leave. The CNL reiterated that all medical requests, follow-ups, and reviews were completed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that care was provided as outlined in the care plan. A range of equipment and resources are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activities are appropriate to the residents’ needs and abilities. Activities are conducted by the activities care coordinator who has been in the role for three weeks. The coordinator has completed some diversional therapy papers in the past and reported that they were in the process of resuming the studies to complete the course. The activities are based on assessment and reflected the residents’ social, cultural, spiritual, physical, cognitive needs/abilities, past hobbies, interests, and enjoyments. Residents’ birthdays are celebrated. A resident profile is completed for each resident within two weeks of admission in consultation with the family. </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formulated by the activities coordinator, however there was no documented activities planner in place for all residents in the rest home and dementia wing. Two residents in the rest home had no activities care plans in place. Two residents in the secure wing had no twenty-four-hour activity plans in place.  Activities were being completed on an ad hoc basis. The activities were reported to be varied and appropriate for people living with dementia and those assessed as requiring rest home level of care. Residents’ activities care plans were evaluated every six months or when there is any significant change.</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participating in a variety of activities on the audit days. Family members and residents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All noted changes by the health care assistants are reported to the nursing team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resident’s care plan and InterRAI assessment is evaluated, reviewed, and amended either when clinically indicated by a change in the resident’s condition or at least every six months whichever is earlier. The evaluation reflected the achievement of the set goals over the previous six months. The evaluations are carried out by the RN in conjunction with the family, residents, GP, and specialist service providers. Where progress is different from expected, the service responded by initiating changes to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reviewed weekly or as indicated by the degree of risk noted during the assessment process.  </w:t>
            </w:r>
          </w:p>
          <w:p w:rsidR="00EB7645" w:rsidRPr="00BE00C7" w:rsidP="00BE00C7">
            <w:pPr>
              <w:pStyle w:val="OutcomeDescription"/>
              <w:spacing w:before="120" w:after="120"/>
              <w:rPr>
                <w:rFonts w:cs="Arial"/>
                <w:b w:val="0"/>
                <w:lang w:eastAsia="en-NZ"/>
              </w:rPr>
            </w:pPr>
            <w:r w:rsidRPr="00BE00C7">
              <w:rPr>
                <w:rFonts w:cs="Arial"/>
                <w:b w:val="0"/>
                <w:lang w:eastAsia="en-NZ"/>
              </w:rPr>
              <w:t>Interviews verified residents and family/whānau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Previous improvements required have now been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 May 2022) was publicly displayed.  All previous requirements relating to outside access and outdoor furniture in the current lodges occupied have now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previous corrective action around the number of toilets and shower blocks has been addressed. However, a DHB review made the week before the audit, raised an issue in the new dementia wing that is currently unoccupied to needs to be  followed up by the organisation around painting in the new staff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seating has now been provided for all residents in the lounge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laundry chemicals are now securely stored. The DHB has raised two additional concerns from their recent review in the laundry area of the new building around safety and staff guidance which need addressing.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previous corrective action relating to an approved evacuation plan for the planned new unit is still outstanding.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programme is defined and appropriate to the size and scope of the service. Infection data is collected, monitored, and reviewed monthly. The data is collated and analysed by the RN to identify any significant trends or common possible causative factors. Results of the surveillance data are shared with staff during shift handovers, at monthly staff meetings, and management meetings. Evidence of completed infection control audits was sighted.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that they are informed of infections as they occur. The RN reported that the GP is informed on time when a resident has an infection and appropriate antibiotics were prescribed for all diagnosed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or enablers. Enablers, when used, would be the least restrictive and used voluntarily at the residents request. If restraint is required or enablers used, a similar process is followed for  both.</w:t>
            </w:r>
          </w:p>
          <w:p w:rsidR="00EB7645" w:rsidRPr="00BE00C7" w:rsidP="00BE00C7">
            <w:pPr>
              <w:pStyle w:val="OutcomeDescription"/>
              <w:spacing w:before="120" w:after="120"/>
              <w:rPr>
                <w:rFonts w:cs="Arial"/>
                <w:b w:val="0"/>
                <w:lang w:eastAsia="en-NZ"/>
              </w:rPr>
            </w:pPr>
            <w:r w:rsidRPr="00BE00C7">
              <w:rPr>
                <w:rFonts w:cs="Arial"/>
                <w:b w:val="0"/>
                <w:lang w:eastAsia="en-NZ"/>
              </w:rPr>
              <w:t>Restraint would only be used as a last resort when all alternatives have been explored. There has been no use of any restraint for several years at the facility.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14"/>
        <w:gridCol w:w="1280"/>
        <w:gridCol w:w="4840"/>
        <w:gridCol w:w="2976"/>
        <w:gridCol w:w="21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management system for medication prescribing, dispensing, administration, review, and reconciliation. Medication reconciliation is conducted by the RN when a resident is transferred back to the service from the hospital or any external appointments. The RN checks medicines against the prescription and these were updated on the pharmacy delivery forms. </w:t>
            </w:r>
          </w:p>
          <w:p w:rsidR="00EB7645" w:rsidRPr="00BE00C7" w:rsidP="00BE00C7">
            <w:pPr>
              <w:pStyle w:val="OutcomeDescription"/>
              <w:spacing w:before="120" w:after="120"/>
              <w:rPr>
                <w:rFonts w:cs="Arial"/>
                <w:b w:val="0"/>
                <w:lang w:eastAsia="en-NZ"/>
              </w:rPr>
            </w:pPr>
            <w:r w:rsidRPr="00BE00C7">
              <w:rPr>
                <w:rFonts w:cs="Arial"/>
                <w:b w:val="0"/>
                <w:lang w:eastAsia="en-NZ"/>
              </w:rPr>
              <w:t>The policy requires that the GP completes three monthly reviews; however, seven of ten medication charts reviewed were overdue for review by a maximum of 36 days. The RN reported that the overdue medication charts were scheduled for review at the next GP visit.</w:t>
            </w:r>
          </w:p>
          <w:p w:rsidR="00EB7645" w:rsidRPr="00BE00C7" w:rsidP="00BE00C7">
            <w:pPr>
              <w:pStyle w:val="OutcomeDescription"/>
              <w:spacing w:before="120" w:after="120"/>
              <w:rPr>
                <w:rFonts w:cs="Arial"/>
                <w:b w:val="0"/>
                <w:lang w:eastAsia="en-NZ"/>
              </w:rPr>
            </w:pPr>
            <w:r w:rsidRPr="00BE00C7">
              <w:rPr>
                <w:rFonts w:cs="Arial"/>
                <w:b w:val="0"/>
                <w:lang w:eastAsia="en-NZ"/>
              </w:rPr>
              <w:t>Monitoring of medicine fridge temperatures is conducted regularly and deviations from normal were reported and attended to promptly; however, monitoring of the medication room temperature was not being completed. These were not part of their regular checks.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Weekly controlled drug (CD) stock takes were evident in the drug register reviewed. Six-monthly stock takes were not consistently completed as per legislation requirements.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Seven out of 10 medication charts sampled were not reviewed in a timely manner, the latest being 36 days overdue.</w:t>
            </w:r>
          </w:p>
          <w:p w:rsidR="00EB7645" w:rsidRPr="00BE00C7" w:rsidP="00BE00C7">
            <w:pPr>
              <w:pStyle w:val="OutcomeDescription"/>
              <w:spacing w:before="120" w:after="120"/>
              <w:rPr>
                <w:rFonts w:cs="Arial"/>
                <w:b w:val="0"/>
                <w:lang w:eastAsia="en-NZ"/>
              </w:rPr>
            </w:pPr>
            <w:r w:rsidRPr="00BE00C7">
              <w:rPr>
                <w:rFonts w:cs="Arial"/>
                <w:b w:val="0"/>
                <w:lang w:eastAsia="en-NZ"/>
              </w:rPr>
              <w:t>2. The medication room temperature was not being monitored.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3. Six monthly controlled drug (CD) stock takes were not completed as per legislation requirements.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medication charts, CD stocktake, and medication room temperature monitoring are kept up to 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conducted in the dementia and resthome wings respectively. Not all residents had activities plans and twenty-four-hour activities care plans completed and two residents in the rest home had no activities care plans in place. The activities coordinator is responsible for completing the activities programme, however there was no overall documented activities planner in place for all residents in the rest home and dementia unit. In interview conducted the activities coordinator reported that activities were decided on daily basis.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Two residents’ files reviewed in the dementia unit had no 24-hour activity care plans completed.</w:t>
            </w:r>
          </w:p>
          <w:p w:rsidR="00EB7645" w:rsidRPr="00BE00C7" w:rsidP="00BE00C7">
            <w:pPr>
              <w:pStyle w:val="OutcomeDescription"/>
              <w:spacing w:before="120" w:after="120"/>
              <w:rPr>
                <w:rFonts w:cs="Arial"/>
                <w:b w:val="0"/>
                <w:lang w:eastAsia="en-NZ"/>
              </w:rPr>
            </w:pPr>
            <w:r w:rsidRPr="00BE00C7">
              <w:rPr>
                <w:rFonts w:cs="Arial"/>
                <w:b w:val="0"/>
                <w:lang w:eastAsia="en-NZ"/>
              </w:rPr>
              <w:t>2. Two files reviewed for residents assessed as requiring rest home level of care had no activities care plans in place.</w:t>
            </w:r>
          </w:p>
          <w:p w:rsidR="00EB7645" w:rsidRPr="00BE00C7" w:rsidP="00BE00C7">
            <w:pPr>
              <w:pStyle w:val="OutcomeDescription"/>
              <w:spacing w:before="120" w:after="120"/>
              <w:rPr>
                <w:rFonts w:cs="Arial"/>
                <w:b w:val="0"/>
                <w:lang w:eastAsia="en-NZ"/>
              </w:rPr>
            </w:pPr>
            <w:r w:rsidRPr="00BE00C7">
              <w:rPr>
                <w:rFonts w:cs="Arial"/>
                <w:b w:val="0"/>
                <w:lang w:eastAsia="en-NZ"/>
              </w:rPr>
              <w:t>3. There was no documented activity planner for all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activity planning is current in all files and an activity planner is developed for all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1.4.3.1</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toilets/showers/bathing facilities conveniently located and in close proximity to each service area to meet the needs of consumers. This excludes any toilets/showers/bathing facilities designated for service providers or visitor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new wing has had a new staff toilet and shower area completed. A previous entry into the area was through two different residents’ rooms and the hallway. The DHB has asked that the paint on the new entry door be painted the same as the walls on the outside and that the two locks that had previously allowed entry from residents’ rooms are disabled and those doors painted to match the rest of the room so as not to confuse residents. This was observed to be completed during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While the number of toilet and shower blocks is now adequate, the staff only toilet entry from the hallway is not painted in a similar wall colour. The two locks/handles on the relevant residents’ rooms doors that were exits to the staff toilet area, are not disabled and painted so as not to confuse residents once the unit is operational.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Paint the doors not used by residents the same colours as the surrounding walls and have the locks removed from the residents’ doors that are no longer used to ensure residents are not unnecessarily confused.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have access to designated areas for the safe and hygienic storage of cleaning/laundry equipment and chemicals.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new laundry that is intended for use once the new unit is operating, has yet to have a security lock on the external door. In addition, the required data sheets and laundry process needed to guide staff are not yet displayed.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new laundry in the yet to be commissioned dementia wing, there are no guidance processes and procedures available to guide staff. There is also no appropriate security installed on the external door.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appropriate data sheets and procedural documents are made available in the laundry to guide staff. Access from the external area needs to have appropriate security installed to ensure residents are not able to access that area.</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approved evacuation plan for the inclusion of the new unit into the facility plan. This previous corrective action is currently being worked on with urgency by the facility in conjunction with the DHB, the fire service and a contracted safety provider. It relates to the change of use for the new building that is not yet in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plans and correspondence between the parties was reviewed and work is in progress to remedy all the issues that needed to be addressed. There were relevant contractors on site during the audit to do work to reinstate fire doors to deal with the smoke separation issues identified and final evacuation points for residents once the unit is operational.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fire drills and staff training have recently been completed for all buildings currently in use and a review of a recent fire alarm process confirmed a safe, timely and efficient evacuation of all current residents occurred.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currently no approved evacuation plan for the inclusion of the new building into the facility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Continue with processes already in place for obtaining an appropriate approved evacuation plan from the NZFS for all areas intending to be used for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North Health Limited - Hummingbird House</w:t>
    </w:r>
    <w:bookmarkEnd w:id="58"/>
    <w:r>
      <w:rPr>
        <w:rFonts w:cs="Arial"/>
        <w:sz w:val="16"/>
        <w:szCs w:val="20"/>
      </w:rPr>
      <w:tab/>
      <w:t xml:space="preserve">Date of Audit: </w:t>
    </w:r>
    <w:bookmarkStart w:id="59" w:name="AuditStartDate1"/>
    <w:r>
      <w:rPr>
        <w:rFonts w:cs="Arial"/>
        <w:sz w:val="16"/>
        <w:szCs w:val="20"/>
      </w:rPr>
      <w:t>11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