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Bert Sutcliffe Retirement Village Limited - Bert Sutcliffe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Bert Sutcliffe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Bert Sutcliffe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August 2021</w:t>
      </w:r>
      <w:bookmarkEnd w:id="7"/>
      <w:r w:rsidRPr="009418D4">
        <w:rPr>
          <w:rFonts w:cs="Arial"/>
        </w:rPr>
        <w:tab/>
        <w:t xml:space="preserve">End date: </w:t>
      </w:r>
      <w:bookmarkStart w:id="8" w:name="AuditEndDate"/>
      <w:r w:rsidR="00A4268A">
        <w:rPr>
          <w:rFonts w:cs="Arial"/>
        </w:rPr>
        <w:t>5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Bert Sutcliffe provides rest home, hospital (geriatric and medical) and dementia level of care for up to 150 residents.  There were 116 residents at the time of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a general practitioner.</w:t>
      </w:r>
    </w:p>
    <w:p w:rsidRPr="00A4268A">
      <w:pPr>
        <w:spacing w:before="240" w:line="276" w:lineRule="auto"/>
        <w:rPr>
          <w:rFonts w:eastAsia="Calibri"/>
        </w:rPr>
      </w:pPr>
      <w:r w:rsidRPr="00A4268A">
        <w:rPr>
          <w:rFonts w:eastAsia="Calibri"/>
        </w:rPr>
        <w:t>The acting village manager is appropriately qualified and experienced and is supported by an acting resident services manager, a clinical manager (registered nurse) who oversees clinical operations in the care centre and a regional manager.  There are quality systems and processes being implemented.  Feedback from residents and families was very positive about the care and the services provided.  Induction and in-service training programmes are in place to provide staff with appropriate knowledge and skills to deliver care.</w:t>
      </w:r>
    </w:p>
    <w:p w:rsidRPr="00A4268A">
      <w:pPr>
        <w:spacing w:before="240" w:line="276" w:lineRule="auto"/>
        <w:rPr>
          <w:rFonts w:eastAsia="Calibri"/>
        </w:rPr>
      </w:pPr>
      <w:r w:rsidRPr="00A4268A">
        <w:rPr>
          <w:rFonts w:eastAsia="Calibri"/>
        </w:rPr>
        <w:t>Two areas of continuous improvements were identified in relation to the activities programme and restraint minimisation.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being implemented.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and implemented Māori health plan in place.  Individual care plans reflect the cultural needs of residents.  Discussions with residents and relatives confirms that residents, and where appropriate their families, are involved in care decisions.  Regular contact is maintained with families including when a resident is involved in an incident or has a change in their current health.  Families and friends visit residents at times that suit them.  </w:t>
      </w:r>
    </w:p>
    <w:p w:rsidRPr="00A4268A">
      <w:pPr>
        <w:spacing w:before="240" w:line="276" w:lineRule="auto"/>
        <w:rPr>
          <w:rFonts w:eastAsia="Calibri"/>
        </w:rPr>
      </w:pPr>
      <w:r w:rsidRPr="00A4268A">
        <w:rPr>
          <w:rFonts w:eastAsia="Calibri"/>
        </w:rPr>
        <w:t xml:space="preserve">There is an established system implemented for the management of complaints that meets requirements set forth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An acting village manager, acting resident services manager and clinical manager are responsible for the day-to-day operations.  They are supported by four-unit coordinators, one for each level of service (rest home, hospital, dementia, serviced apartments).  Goals are documented for the service with evidence of regular reviews.  </w:t>
      </w:r>
    </w:p>
    <w:p w:rsidRPr="00A4268A">
      <w:pPr>
        <w:spacing w:before="240" w:line="276" w:lineRule="auto"/>
        <w:rPr>
          <w:rFonts w:eastAsia="Calibri"/>
        </w:rPr>
      </w:pPr>
      <w:r w:rsidRPr="00A4268A">
        <w:rPr>
          <w:rFonts w:eastAsia="Calibri"/>
        </w:rPr>
        <w:t xml:space="preserve">Comprehensive quality and risk management programmes are implemented.  Corrective actions are put in place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twenty-four hours a day.  Residents and families report that staffing levels are adequate to meet the needs of the residents.  </w:t>
      </w:r>
    </w:p>
    <w:p w:rsidRPr="00A4268A">
      <w:pPr>
        <w:spacing w:before="240" w:line="276" w:lineRule="auto"/>
        <w:rPr>
          <w:rFonts w:eastAsia="Calibri"/>
        </w:rPr>
      </w:pPr>
      <w:r w:rsidRPr="00A4268A">
        <w:rPr>
          <w:rFonts w:eastAsia="Calibri"/>
        </w:rPr>
        <w:t>The integrated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Staff responsible for administration of medications complete education and medication competencies.  The medication charts reviewed meet all prescribing requirements and are reviewed at least three-monthly.</w:t>
      </w:r>
    </w:p>
    <w:p w:rsidRPr="00A4268A" w:rsidP="00621629">
      <w:pPr>
        <w:spacing w:before="240" w:line="276" w:lineRule="auto"/>
        <w:rPr>
          <w:rFonts w:eastAsia="Calibri"/>
        </w:rPr>
      </w:pPr>
      <w:r w:rsidRPr="00A4268A">
        <w:rPr>
          <w:rFonts w:eastAsia="Calibri"/>
        </w:rPr>
        <w:t xml:space="preserve">Food services and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All rooms have ensuites.  External areas are safe and well-maintained with shade and seating available.  Fixtures, fittings and flooring are appropriate and toilet/shower facilities are constructed for ease of cleaning.  There are spacious lounges and dining areas in each unit.  The dementia unit allows for safe wandering and areas for group or individual activities.  Resident rooms are spacious and allow for safe movement of staff and mobility equipment.  Cleaning and laundry services are monitored through the internal auditing system.  Systems and supplies are in place for essential, emergency and security services.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was one resident with restraint and no residents with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prevention and control leader (clinical manager) is responsible for coordinating/providing education and training for staff.  The infection control leader has attended internal and external training.  The infection control manual outlines a comprehensive range of policies, standards and guidelines, training and education of staff and scope of the programme.  The infection control leader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14"/>
        <w:gridCol w:w="1280"/>
        <w:gridCol w:w="94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Four managers (one acting village manager, one clinical manager, one acting resident services manager, one regional manager) and twenty-eight care staff (four unit coordinators (three registered nurses (RNs) and one enrolled nurse (EN), five registered nurses (RNs), ten caregivers (four hospital, two dementia, two serviced apartments, two rest home) who work during the AM and PM shifts, two laundry staff, three activities coordinators, one chef, one physiotherapist, one maintenance, one village support) interviewed understand the Code and its application to their job role and responsibilities.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in all eleven resident files reviewed (three rest home- including one on an ACC and one respite contract, five hospital and three dementia residents).  Discussions with staff confirmed that they are familiar with the requirements to obtain informed consent for entering rooms and personal care.  Enduring power of attorney (EPOA) evidence is filed in the residents’ charts.  All resident files reviewed in the dementia unit had activated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provides opportunities for the family/EPOA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a visible location.  Information about complaints is provided on admission.  Interviews with residents and family confirmed their understanding of the complaints process.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register that includes written and verbal complaints, dates and actions taken and demonstrates that complaints are being managed in a timely manner.  The complaints process is linked to the quality and risk management system.  Eleven complaints reviewed for 2021 (year to date) have been managed in a timely manner with nine of the eleven complaints documented as resolved.  Timeframes are met as per Health and Disability Commissioner (HDC) guidelines.  Evidence was sighted of complaints being discussed in the weekly management and monthly staff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during the admission process.  Six relatives (three hospital, three dementia) and seven residents (four rest home with one in a serviced apartment, three hospital) stated they were provided with information on admission which includes the Code.  Large print posters of the Code and advocacy information are displayed throughout the facility.  The acting village manager reported having an open-door policy.  The information pack is discussed with residents/relatives on admission.  Relatives and residents are informed in writing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policies that support the residents’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whilst assisting with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Residents’ preferences are identified during the admission and care planning process with family involvement.  Instructions are provided in the admission agreement regarding responsibilities of personal belongings.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in assessment and care planning and visiting is encouraged.  Links are established with Ngai Tai Ki Tamaki with evidence of annual contact.  There were no residents who identified as Māori at the time of the audit although there was one family member of a resident who identified as Māori.  She confirmed that the residents’ values and beliefs and her values and beliefs were being met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interviewed confirmed that staff take into account their cultural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Managers provide guidelines and mentoring for specific situations.  Interviews with staff confirmed their awareness and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 master copy of policies, which have been developed in line with current accepted best practice and these are reviewed regularly or at least three-yearly.  The content of policy and procedures are sufficiently detailed to allow effective implementation by staff.  Many core clinical practices also have education packages for staff, which are based on Ryman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r w:rsidRPr="00BE00C7">
              <w:rPr>
                <w:rFonts w:cs="Arial"/>
                <w:b w:val="0"/>
                <w:lang w:eastAsia="en-NZ"/>
              </w:rPr>
              <w:t>Key areas of focus that have been determined for the 2021 year include preventing staff injuries by improving their knowledge and skills, improving the induction process for new staff, decreasing the number of pressure injuries and improving the life of residents by being more inclusive of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  Evidence of families being kept informed is documented on the electronic database and in the residents’ progress notes.  All family interviewed stated they were well-informed.  Fifteen incident/accident forms and corresponding residents’ files were reviewed, and all identified that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There were two residents with English as their second language.  Family and staff are used as interpreters in the first instance.  Staff reported that they have learned some words in the resident’s language to assist with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Bert Sutcliffe is a Ryman healthcare retirement village located in Birkenhead, Auckland.  They are certified to provide rest home, hospital (geriatric and medical) and dementia levels of care for up to 150 residents.  This includes 30 serviced apartments that are certified to provide rest home level care.  All 82 beds in the rest home and hospital floors are certified as dual-purpose, although at the time of the audit just the rest home floor is being used as a dual-purpose floor.  Thirty-eight dementia level beds are separated into two nineteen bed units with a nursing station located between the two.  </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38 dementia level residents in the two 19-bed units, 41 hospital level residents and 35 rest home level residents including two residents in the serviced apartments.  Three residents were on respite (rest home level) with one of the respite residents funded by ACC.  The remaining residents were on the age-related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Specific values have been determined for the facility.  Organisational objectives for 2021 are defined with evidence of regular reviews and quarterly reporting on progress towards meeting these objectives.  Results are communicated to staff in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on extended leave during the audit.  Her role is being filled by an acting village manager (non-clinical) who holds a background in the hospitality industry with seven years in elderly care and three years in a management role.  She is the resident services manager at Burt Sutcliffe when not in the acting village manager’s role.  Plans are in place for her to work as the acting facility manager for one year.  This appointment began in June 2021.  She is supported by the clinical manager and acting resident services manager.</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has been in her role for two years with previous experience as a clinical nurse specialist in gerontology for the District Health Board (DHB) for 15 years.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acting village manager and clinical manager have completed a minimum of eight hours of education per year relating to their managerial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acting resident services manager are responsible during the temporary absence of the village manager, with support provided from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facilities have a well-established quality and risk management system that is directed by Ryman Christchurch.  Quality and risk performance is reported across the facility meetings and to the organisation's management team.  Discussions with the managers and staff; and review of management and staff meeting minutes, demonstrates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service delivery.  There are clear guidelines and templates for reporting.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showing trends in the data.  Results are communicated to staff across a variety of meetings.  Interviews with care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Minutes are maintained.  Annual resident and relative surveys for the 2021 year reflect that the vast majority of residents and relatives are satisfied or very satisfied with the level of care provided.  A quality improvement plan (QIP) is developed where opportunities for improvement are identified.  The QIP is signed off when resolved.  At the time of the audit, thirteen QIPs were documented for 2021 (year-to-date) with a range of QIPs already signed off in 2021 as fully implemented (reducing skin tears, reducing the number of falls for respite residents, addressing any lower scores received from resident/relative survey results, reducing the number of urinary tract infections, addressing a corrective action in relation to the housekeeping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as evidenced in the monthly health and safety meetings.  The acting village manager has overall responsibility for the health and safety programme.  A health and safety representative (village support) was interviewed during the audit.  The service documents and analyses incidents/accidents, unplanned or untoward events and provides feedback to the service and staff.  The hazard registers for generic and specific hazards are reviewed a minimum of annually.  The internal audit programme is linked to health and safety (e.g., food safety audits, emergency call bell audits, environmental audits, fire safety audits, waste management audits).  Staff document hazards and near miss events in a designated book that is held at reception.  All staff complete health and safety training during their induction to the facility.  Reception staff and/or maintenance staff are responsible to orientating external contractors through the Assure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A range of strategies are implemented around reducing the number of residents falls including: review, discuss and monitor falls fates weekly, monthly and six monthly to identify risk factors and trends; hourly intentional rounding for identified high risk fallers and residents with vision impairment; carers handover to their buddy when they leave the floor; lounge carers remain in the lounge unless relieved by a caregiver or RN; residents are encouraged to attend the triple A exercise classes.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15 incident/accident forms (witness and unwitnessed falls, pressure injuries, skin tears) identified that all electronic assessments relating to the adverse event were fully completed and included follow-up by a registered nurse.  The clinical manager is involved in the adverse event process, with links to the management, clinical and staff meetings.  Neurological observations are completed as per protocol if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acting village manager is able identify situations that would be reported to statutory authorities.  Section 31 reports have been completed for one police investigation (absconding resident), two pressure injuries and change in managers since the previous audit.  Notification was made to the DHB and public health authorities relating to one gastrointestinal outbreak.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Fourteen staff files reviewed (one clinical manager, one village support, one chef, one fluid assistant, four caregivers, one lounge assistant, one receptionist, one activities assistant, one dining assistant, one housekeeper, and one gardener) included a signed contract, job description relevant to the role of the staff member, evidence of staff completing their orientation programmes (general and specific to the position), police vetting and reference checks.  Eight-week performance reviews are completed following employment and were evidenced as being completed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 and enrolled nurse practising certificates is maintained within the facility.  Practicing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annual education plan.  Staff training records are maintained.  The annual training programme offered to staff exceeds eight hours annually.  There is an attendance register for each training session and an individual staff member record of training.  Online training is complimented by in-service training and competency assessments.  Nursing staff are supported to maintain their professional competency.  Twelve of twenty RNs have completed their interRAI training.  There are implemented competencies for nurses and caregivers related to specialised procedures and/or treatment including medication competencies and insulin competencies.  All staff are required to complete yearly comprehension surveys.</w:t>
            </w:r>
          </w:p>
          <w:p w:rsidR="00EB7645" w:rsidRPr="00BE00C7" w:rsidP="00BE00C7">
            <w:pPr>
              <w:pStyle w:val="OutcomeDescription"/>
              <w:spacing w:before="120" w:after="120"/>
              <w:rPr>
                <w:rFonts w:cs="Arial"/>
                <w:b w:val="0"/>
                <w:lang w:eastAsia="en-NZ"/>
              </w:rPr>
            </w:pPr>
            <w:r w:rsidRPr="00BE00C7">
              <w:rPr>
                <w:rFonts w:cs="Arial"/>
                <w:b w:val="0"/>
                <w:lang w:eastAsia="en-NZ"/>
              </w:rPr>
              <w:t>Eighty-four caregivers were employed at the time of the audit.  Eight had achieved a level four Careerforce qualification (or its equivalent), seven had a level three qualification, and five had a level two qualification.  A total of 16 caregivers have completed the dementia standards, 10 of these work in the dementia units.  Of the 24 staff who work in the dementia units, 10 have completed the dementia standards.  Four have completed and submitted the required paperwork and are awaiting their results.  The remaining staff who work in the special care unit are in the process of completing their dementia qualification and have been working in the special care unit for less than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is in place for determining staffing levels and skills mix for safe service delivery.  This defines staffing ratios to residents.  Rosters implement the staffing rationale.  The acting village manager is on-site Monday – Friday alongside the clinical manager who is an experienced registered nurse with a current practising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are thirty serviced apartments certified to provide rest home level of care that are located across six floors.  Two rest home level residents were living in a serviced apartment at the time of the audit.  The serviced apartment (SA) coordinator is an enrolled nurse and works Sunday – Thursday.  An RN covers on the two days that the EN is not available (Friday/Saturday).  The am shift is staffed with two long (eight hour) shift caregivers.  The PM shift is staffed with two (short shift) caregivers (2100 and 2200).  The remaining PM shift and night shift are covered by a designated hospital level caregiver.  Staff communicate via pagers.  One serviced apartment resident who was interviewed reported that staffing levels are adequate.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Thirty-five rest home and two hospital residents were living in the rest home/hospital unit (4th floor).  RN staffing includes a unit coordinator/RN five days a week (Tuesday – Saturday) and a staff RN (Saturday/Sunday).  Two long shift and two short shift caregivers (0700 - 1300) cover the am and pm shifts (1500 - 2030 and 1500 -2100) and two caregivers cover the night shift.  The RN is based in the hospital (3rd floor) and provides oversite during the pm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Thirty-nine hospital level residents were living on the 3rd floor.  A unit coordinator/RN is rostered five days a week.  Two staff RNs are rostered for the am shift and pm shifts and one RN is rostered for the night shift.  The hospital floor is supported by four long and four short (0700 - 1300) caregivers on the AM shift, two long and four short (1500 - 2100) caregivers on the PM shift and two caregivers on the night shift.  A fluid assistant is rostered 0930 – 1300 and a lounge carer is rostered 1600 – 2000, both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There are two secure dementia units (19 beds each) with a shared nursing office.  Both dementia units were full with a total of 38 residents.  A unit coordinator (RN) oversees both units five days a week (Tuesday – Saturday) and a staff RN is rostered the remaining two days of the week (Sunday and Monday).  The RN in the hospital provides oversight for the pm and night shifts.  Two long and two short shift (to 1300) caregivers are rostered in the am and pm shifts (to 2100).  Three caregivers are rostered for the night shift.  Lounge carers are rostered seven days a week from 0900 – 1600 and 1600 – 2000.</w:t>
            </w:r>
          </w:p>
          <w:p w:rsidR="00EB7645" w:rsidRPr="00BE00C7" w:rsidP="00BE00C7">
            <w:pPr>
              <w:pStyle w:val="OutcomeDescription"/>
              <w:spacing w:before="120" w:after="120"/>
              <w:rPr>
                <w:rFonts w:cs="Arial"/>
                <w:b w:val="0"/>
                <w:lang w:eastAsia="en-NZ"/>
              </w:rPr>
            </w:pPr>
            <w:r w:rsidRPr="00BE00C7">
              <w:rPr>
                <w:rFonts w:cs="Arial"/>
                <w:b w:val="0"/>
                <w:lang w:eastAsia="en-NZ"/>
              </w:rPr>
              <w:t>Additional (guaranteed hours) staff who are employed to fill absences in the roster, referred to as cover pool staff, include 32 RN hours per week, 71 caregiver hours per week and 16 housekeeping hours per week.</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scheduled seven days a week in the hospital and dementia units and five days a week in the rest home and serviced apartments.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the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available for residents/families at entry including information on the 48-hour complimentary service for village residents, short-term stays, rest home, hospital and dementia level of care services.  The admission agreements reviewed met the requirements of the ARRC contract.  Exclusions from the service are included in the admission agreement.  All long-term and short-term admission agreements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transfer/discharge/exit policy and procedures in place.  The procedures include a transfer/discharge form and the DHB ‘yellow envelope’ process is used.  The RNs report that they include copies of all the required information in the envelope.  Resident files reviewed included admissions to and from public hospital and all procedures, including documentation had been completed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(standard operating procedures) in place for all aspects of medication management, including self-administration.  The RN checks all medications on delivery against the medication and any pharmacy errors are recorded and fed back to the supplying pharmacy.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enrolled nurses and senior caregivers responsible for the administering of medications have completed annual medication competencies and annual medication education.  Registered nurses have also attained syringe driver competency through the local hospice.  There were two self-medicating rest home residents on the day of audit.  Self-medicating competency, three monthly reviews, monitoring and safe storage were in place.  The medication rooms were clean and well organised, all medications were in date and stored appropriately.  The medication room and fridge temperatures are recorded, and these are within acceptable ranges.  There are no standing orders in use and no vaccines are kept on site.</w:t>
            </w:r>
          </w:p>
          <w:p w:rsidR="00EB7645" w:rsidRPr="00BE00C7" w:rsidP="00BE00C7">
            <w:pPr>
              <w:pStyle w:val="OutcomeDescription"/>
              <w:spacing w:before="120" w:after="120"/>
              <w:rPr>
                <w:rFonts w:cs="Arial"/>
                <w:b w:val="0"/>
                <w:lang w:eastAsia="en-NZ"/>
              </w:rPr>
            </w:pPr>
            <w:r w:rsidRPr="00BE00C7">
              <w:rPr>
                <w:rFonts w:cs="Arial"/>
                <w:b w:val="0"/>
                <w:lang w:eastAsia="en-NZ"/>
              </w:rPr>
              <w:t>Twenty-two medication charts were reviewed (six rest home, ten hospital and six dementia).  Photo identification and allergy status was on all charts.  All medication charts had been reviewed by the GP at least three-monthly.  All resident medication administration signing sheets corresponded with the medication chart.  All policy and legislative requirements had been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meals at Ryman Bert Sutcliffe are all prepared and cooked on site.  The kitchen was observed to be clean and well organised.  A current approved food control plan was in evidence which expires 9 May 2022.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The assistant lead chef (interviewed) was aware of resident likes, dislikes and special dietary requirements.  Alternative meals are offered for those residents with dislikes or religious preferences.  The service utilises pre-moulded pureed foods for those residents requiring that particular modification. Meals are plated by the chefs and delivered via hot boxes to the units where they are served by care staff in each of the unit kitchen/dining rooms.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Kitchen fridge and freezer temperatures are monitored and recorded daily.  Food temperatures are checked at all meals.  These are all within safe limits.  Staff were observed wearing correct personal protective clothing in the kitchen and in the serveries.  Cleaning schedules are maintained.  Staff were observed assisting residents with meals in the dining rooms and modified utensils are available for residents to maintain independence with meals.  Food services staff have all completed food safety and hygiene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very satisfied with the standard of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Initial assessments had been completed on the myRyman system within the required timeframes for all residents entering the service including short-stay residents.  InterRAI assessments had been completed for all long-term residents whose files were reviewed.  Applicable myRyman assessments are completed and reviewed at least six monthly or when there is a change to residents’ health/risk.  The outcome of all assessments is reflected in the myRyman care plan.  Behaviour assessments had been completed for the files of the three dementia care residents with the outcomes included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reviewed were resident centred.  Interventions documented support needs, resident goals and provide detail to guide care.  There was a behaviour management plan in the files of dementia care residents that included interventions and strategies for de-escalation including activities.  MyRyman care plans reviewed have been updated when there were changes to health, risk, infections or monitoring requirements.  Residents and relatives interviewed stated that they were involved in the care planning process with the RNs.  There was evidence of service integration with documented input from a range of specialist care professionals including the physiotherapist, hospice nurse, dietitian, wound care nurse and mental health services for older people.  The care staff interviewed advised that the myRyman care plans were easy to access and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GP/NP consultation.  Registered nurses interviewed stated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and management plans are completed on myRyman.  When wounds are due to be dressed a task is automated on the RN daily schedule.  Wound assessment, wound management, evaluation forms, and wound monitoring occurs as planned in the sample of wounds reviewed.  Current wounds two facility acquired pressure injuries (one stage 3 and one unstageable), sixteen skin tears, six chronic ulcers, two surgical wounds, four lesions and one abrasion.  There has been input from the wound nurse specialist into pressure injury and chronic wound management.  Photos of wounds demonstrated progress or deterioration.  Pressure injury prevention equipment is available and is being used.  Caregivers document changes of position electronically. An incident report and section 31 notifications were sighted for the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Electronic monitoring forms are in use as applicable such as weight, food and fluid, vital signs, blood sugar levels, neurological observations, wound monitoring and behaviour charts.  The RNs review the monitoring charts daily.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activity and lifestyle coordinators (including two qualified diversional therapists – DT), activity assistants, and lounge caregivers implement the Engage activities programme in each unit that reflects the physical and cognitive abilities of the resident groups.  The activity and lifestyle coordinators work Monday to Friday in each of the four areas (hospital, special care unit, rest home and serviced apartments) and are supported by weekend activity assistants.  The rest home programme is Monday to Friday and the hospital and dementia unit is seven days a week.  The special care (dementia unit) is split in to two units, with the activities and lifestyle coordinator based in one side and a lounge carer leading activity in the other.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for each unit, delivered to each resident’s room.  A daily activity programme is written on the lounge whiteboard.  Residents have the choice of a variety of Engage activities in which to participate including (but not limited to); triple A exercises, board games, quizzes, music, reminiscing, sensory activities, crafts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 in the serviced apartment can choose to attend the serviced apartment or rest home activity programme.  Those residents who prefer to stay in their room or who need individual attention have one-on-one visits to check if there is anything they need and to have a chat.  The village has two vans available for outings and a driver on staff available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utilises a contracted, wheelchair accessible vehicle for their outings.  </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dementia care units include triple A exercises, singing, happy hours, hand therapy, word and memory games.  There are also low-sensory activities if required including manicures and hand-massage.  Community group, entertainer and pet therapy visits occur in all units.  Happy hour occurs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Covid-19 lockdown, the service-initiated hallway activities in all units, with coordinators providing entertainment, hosting quizzes and facilitating exercise sessions for residents who were unable to leave their room.  Happy hour supplies were delivered to individual rooms and entertainment provided via the tablet situated in each resident’s room.  The service also activated zoom sessions for all residents to maintain communication with families, which was managed on a day-to-day basis by the activities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weekly in addition to individual spiritual support visits in the residents’ rooms as required.   Special events like birthdays, Matariki, St Patricks day, Easter, Father’s Day, Anzac Day and Christmas and theme days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reviewed showed long-term care plans had six monthly reviews completed and were updated when needs changed.  Clinical reviews were documented in the multidisciplinary review (MDR) records, which included input from the GP, NP, RNs, activities coordinators, physiotherapist and resident/family.  Progress towards meeting goals were documented.  Progress notes were completed and reflected response to interventions and treatments.  Changes to care were documented.  Documentation of GP/NP visits evidenced that reviews were occurring at least three-monthly.  Short-term care plans were in use for short term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services (medical and non-medical) and where access occurs, referral documentation is maintained.  Residents' and/or their family/whānau are involved as appropriate when referral to another service occurs.  Registered nurses interviewed described the referral process should they require assistance from specialist practitioners.  The review of resident records included evidence of recent referrals to allied health professionals including mental health services, dietician and wound nurse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three service levels across six floors (including serviced apartments).  All care beds (dementia excluded) are dual-purpose; however, the service currently runs as floor 4 rest home/hospital, floor 3 hospital and floor 2 dementia.  Floor 2 contains 38 dementia beds split in to two units with a central nurses’ hub in-between.  Independent serviced apartments are spread across all floors.  There are multiple lifts, and stairs access between the levels and secure entrance and exits to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Warrant of Fitness (BWOF) expiring 11 June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employs a full-time maintenance officer, gardens and grounds staff.  Daily maintenance requests are addressed, and a 12-monthly planned maintenance schedule is in place and has been signed off monthly (sighted).  Essential contractors are available 24 hours.  Electrical testing is completed annually.  An external contractor completes annual calibration and functional checks of medical equipment, this is next due January 2022.  Hot water temperatures in resident areas are monitored, and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mobilise safely using mobility aids.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safely accessing the outdoor gardens and courtyards.  Seating and shade are provided.  The caregivers and RNs interviewed stated they have sufficient equipment to safely deliver cares as outlined in the resident care plans.</w:t>
            </w:r>
          </w:p>
          <w:p w:rsidR="00EB7645" w:rsidRPr="00BE00C7" w:rsidP="00BE00C7">
            <w:pPr>
              <w:pStyle w:val="OutcomeDescription"/>
              <w:spacing w:before="120" w:after="120"/>
              <w:rPr>
                <w:rFonts w:cs="Arial"/>
                <w:b w:val="0"/>
                <w:lang w:eastAsia="en-NZ"/>
              </w:rPr>
            </w:pPr>
            <w:r w:rsidRPr="00BE00C7">
              <w:rPr>
                <w:rFonts w:cs="Arial"/>
                <w:b w:val="0"/>
                <w:lang w:eastAsia="en-NZ"/>
              </w:rPr>
              <w:t>The dementia care units each include an open plan dining/lounge area.  There is free and safe and secure access to the outdoor deck areas with raised gardens,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rooms within the facility have ensuites.  Fixtures, fittings and flooring are appropriate.  Toilet/shower facilities are easy to clean.  There is ample space in toilet and shower areas to accommodate shower chairs and hoists if appropriate.  There are mobility toilets near all communal lounges.  There are privacy signs on all 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in all areas to allow care to be provided and for the safe use of mobility equipment.  Staff interviewed reported that they have adequate space to provide care to residents.  Residents can personalise their rooms and the rooms are large enough for family and friends to socialise with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are dining rooms in each area.  The dementia units each have a separate dining room and main lounge with a smaller quiet sensory lounge.  There is a, café, and hairdressing salon and beauty therapy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datasheets.  Personal protective equipment is available.  Cleaning and laundry services are monitored through the internal auditing system.  The cleaner’s equipment was attended at all times or locked away.  The cleaning trolley also has a locked cupboard for chemicals.  All chemicals on the cleaners’ trolley sighted were labelled.  The sluice rooms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emergency and disaster manuals to guide staff in managing emergencies and disasters.  Emergency management, first aid and CPR are included in the mandatory in-service programme.  There is a first aid trained staff member on every shift and on outings.  The village has an approved fire evacuation plan and fire drills take place six-monthly.  Smoke alarms, a sprinkler system, exit signs, emergency lighting and gas cooking facilities are in place.  There are civil defence kits in the facility and adequate water storage on-site to meet DHB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evident in resident’s rooms, lounge areas, and toilets/bathrooms.  The call bell system is linked to staff pagers and to the call bell panels.  Residents can choose to wear an alarm pendant which is alarmed if they remove and walk away from it.  Staff also use a telecommunications system to answer the phone at reception after hours and to communicate with each other if assistance is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systems are being implemented to ensure residents are safe.  Staff confirmed that they conduct security checks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areas have ample natural light and ventilation.  Heating is a mixture of underfloor and individual heat pumps, all of which are thermostatically controlled.  Staff and residents interviewed stated that these are effective.  The entire site is smoke free.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leader is the clinical manager.  A job description defines the role and responsibilities for infection control.  The infection prevention and control committee meet bi-monthly, and the programme is set out annually from head office and directed via the quality programme.  The programme is reviewed annually as part of the Ryman training day for infection prevention and control leaders.  </w:t>
            </w:r>
          </w:p>
          <w:p w:rsidR="00EB7645" w:rsidRPr="00BE00C7" w:rsidP="00BE00C7">
            <w:pPr>
              <w:pStyle w:val="OutcomeDescription"/>
              <w:spacing w:before="120" w:after="120"/>
              <w:rPr>
                <w:rFonts w:cs="Arial"/>
                <w:b w:val="0"/>
                <w:lang w:eastAsia="en-NZ"/>
              </w:rPr>
            </w:pPr>
            <w:r w:rsidRPr="00BE00C7">
              <w:rPr>
                <w:rFonts w:cs="Arial"/>
                <w:b w:val="0"/>
                <w:lang w:eastAsia="en-NZ"/>
              </w:rPr>
              <w:t>Hand sanitisers are appropriately placed throughout the facility.  Visitors are asked not to visit if they are unwell.  The majority of residents have received both doses of the Pfizer Covid-19 vaccine (96%) with staff vaccination ongoing in conjunction with the local DHB.  Residents and staff are offered the influenza vaccine.  There has been one outbreak (norovirus) in 2020 which was appropriately managed and included liaison with the local DHB and public health unit.</w:t>
            </w:r>
          </w:p>
          <w:p w:rsidR="00EB7645" w:rsidRPr="00BE00C7" w:rsidP="00BE00C7">
            <w:pPr>
              <w:pStyle w:val="OutcomeDescription"/>
              <w:spacing w:before="120" w:after="120"/>
              <w:rPr>
                <w:rFonts w:cs="Arial"/>
                <w:b w:val="0"/>
                <w:lang w:eastAsia="en-NZ"/>
              </w:rPr>
            </w:pPr>
            <w:r w:rsidRPr="00BE00C7">
              <w:rPr>
                <w:rFonts w:cs="Arial"/>
                <w:b w:val="0"/>
                <w:lang w:eastAsia="en-NZ"/>
              </w:rPr>
              <w:t>Covid-19 education has been provided for all staff, including hand hygiene and use of PPE.  During Covid-19 lockdown it was mandatory for staff not to travel to and from the facility in uniform, with changing facilities provided on site.  Although this is no longer mandatory, it is strongly encouraged as being best practice.</w:t>
            </w:r>
          </w:p>
          <w:p w:rsidR="00EB7645" w:rsidRPr="00BE00C7" w:rsidP="00BE00C7">
            <w:pPr>
              <w:pStyle w:val="OutcomeDescription"/>
              <w:spacing w:before="120" w:after="120"/>
              <w:rPr>
                <w:rFonts w:cs="Arial"/>
                <w:b w:val="0"/>
                <w:lang w:eastAsia="en-NZ"/>
              </w:rPr>
            </w:pPr>
            <w:r w:rsidRPr="00BE00C7">
              <w:rPr>
                <w:rFonts w:cs="Arial"/>
                <w:b w:val="0"/>
                <w:lang w:eastAsia="en-NZ"/>
              </w:rPr>
              <w:t>Ryman has a dedicated infection control channel on the ChattR app for information, education and discussion and Covid updates should matters arise in between scheduled meeting times.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Ryman Bert Sutcliffe.  The infection control committee meet two-monthly, with information then being cascaded as part of staff meetings and also as part of the registered nurse meetings.  The infection prevention and control leader has completed training in infection control.  The infection prevention and control leader has access to an infection prevention and control nurse specialist from the DHB, microbiologist, public health, GPs, local laboratory and expertise from within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prevention and control policies that are current and reflected the Infection Prevention and Control Standard SNZ HB 8134:2008, legislation and good practice.  These policies are generic to Ryman and the policies have been referenced to policies developed by an infection control consultant.  Infection prevention and control policies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leader is responsible for coordinating/providing education and training to all staff.  The orientation/induction package includes specific training around hand hygiene, standard precautions and outbreak management training is provided both at orientation and as part of the annual training schedule.  All staff complete hand hygiene audits and education annually.  Infection control is an agenda item on the full facility and clinical meeting agenda.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via the Ryman calendar.  Effective monitoring is the responsibility of the infection prevention and control officer who is the clinical manager (RN).  An individual infection report form is completed for each infection.  Data is logged into an electronic system, which gives a monthly infection summary.  This summary is then discussed at the clinical meeting, weekly management meeting, infection prevention and control (IPC) meetings and full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Six-monthly comparative summaries of the data are completed and forwarded to head office.  All meetings held at Ryman Bert Sutcliffe include discussion on infection prevention control.  The IPC programme is incorporated into the internal audit programme.  Infection rates are benchmarked across the organisation and are analysed at site level using power BI.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outbreak in December 2020 which was appropriately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justified, and other de-escalation strategies have been ineffective.  The policies and procedures are comprehensive, and include definitions, processes and use of restraints and enablers.  The clinical manager is the restraint coordinator.  Restraints have not been used at the facility since 2016 with the exception of one (hospital) resident who was recently placed in a specialised chair following a fall with injury.  There were no enablers in use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the restraint coordinator for the facility.  The role and responsibilities of the restraint coordinator are defined in the restraint coordinator job description.  A range of strategies are implemented by the restraint coordinator and staff to ensure that restraint is only used as a last resort.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that meets criteria (a) – (h) is completed for residents requiring an approved restraint for safety.  The RN in partnership with the restraint coordinator, approval group, resident and their family/whānau undertakes restraint assessments.  These assessments are based on information in the care plan, resident/family discussions and observations.  Ongoing consultation with the resident and family/whānau are evident.  A restraint assessment form was completed for the resident requiring a special (Viking) chair.  This chair prevents him from standing and was implemented following a fall with facial fracture approximately one month ago.  It is being used instead of a lap belt with the resident displaying no eagerness to stand or agitation while in this chair.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up-to-date restraint register that indicates restraint has not been used at this facility since 2016 with the exception of one (hospital) resident who has recently been placed on a restraint.  The service has an approval process (as part of the restraint minimisation policy) that is applicable to the service.  Discussions took place between the restraint coordinator and Ryman Christchurch prior to placing the resident in a special chair and is being used as an alternative to a lap belt restraint.  The reason for the restraint was that the resident was at risk of harming himself due to his high risk of falling.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and observation is included in the restraint policy.  The restraint coordinator is responsible for ensuring all restraint documentation is completed.  Each episode of restraint is monitored on an hourly schedule.  If the resident becomes agitated, strategies are implemented to settle him including one on one specialling.  Restraint use, risks and cares to be carried out during the restraint episode are documented in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evaluations occur three-monthly (at a minimum) as part of the ongoing reassessment for residents on the restraint register although the resident using restraint at the time of the audit is being reviewed monthly.  Families are included as part of this review where possible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usage throughout the Ryman organisation is monitored regularly.  The review of restraint use is discussed at an organisational level and at relevant facility meetings.  The Ryman organisation and facility are very proactive in minimising restraint.  A comprehensive restraint education and training programme is in place, which includes staff completing a competency in relation to restraint minimisation.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308"/>
        <w:gridCol w:w="1280"/>
        <w:gridCol w:w="2897"/>
        <w:gridCol w:w="5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at admission and in an ongoing manner to establish interests and skills and a plan is developed for the residents around activities.  The activity programme was reviewed and adapted to continue the provision of engaging residents in meaningful activities during a period of pandemic lockdown restrictions.  This resulted in continued resident engagement, physical activity, social interaction and resident satisfaction.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Due to pandemic restrictions in parts of 2020, residents were unable to attend group activities and at times were unable to socialise with other residents and/or have visitors.</w:t>
            </w:r>
          </w:p>
          <w:p w:rsidR="00EB7645" w:rsidRPr="00BE00C7" w:rsidP="00BE00C7">
            <w:pPr>
              <w:pStyle w:val="OutcomeDescription"/>
              <w:spacing w:before="120" w:after="120"/>
              <w:rPr>
                <w:rFonts w:cs="Arial"/>
                <w:b w:val="0"/>
                <w:lang w:eastAsia="en-NZ"/>
              </w:rPr>
            </w:pPr>
            <w:r w:rsidRPr="00BE00C7">
              <w:rPr>
                <w:rFonts w:cs="Arial"/>
                <w:b w:val="0"/>
                <w:lang w:eastAsia="en-NZ"/>
              </w:rPr>
              <w:t>The resident survey results in February 2020 had a score of 3.94.  Despite the lockdown, the activities team adapted the program to enable resident participation in virtual groups through the use of technology and the provision of remote activity facilitation, including virtual happy hour, zoom sessions and the maintenance of contact with family and friends.  This resulted in an improved resident satisfaction survey result, related to activities of 4.21 in February 2021.  Interviews with residents during audit confirmed their satisfaction and engagement with the activities team and program.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2.2.3.2</w:t>
            </w:r>
          </w:p>
          <w:p w:rsidR="00EB7645" w:rsidRPr="00BE00C7" w:rsidP="00BE00C7">
            <w:pPr>
              <w:pStyle w:val="OutcomeDescription"/>
              <w:spacing w:before="120" w:after="120"/>
              <w:rPr>
                <w:rFonts w:cs="Arial"/>
                <w:b w:val="0"/>
                <w:lang w:eastAsia="en-NZ"/>
              </w:rPr>
            </w:pPr>
            <w:r w:rsidRPr="00BE00C7">
              <w:rPr>
                <w:rFonts w:cs="Arial"/>
                <w:b w:val="0"/>
                <w:lang w:eastAsia="en-NZ"/>
              </w:rPr>
              <w:t>Approved restraint is only applied as a last resort, with the least amount of force, after alternative interventions have been considered or attempted and determined inadequate. The decision to approve restraint for a consumer should be made:</w:t>
              <w:br/>
              <w:t>(a) Only as a last resort to maintain the safety of consumers, service providers or others;</w:t>
              <w:br/>
              <w:t>(b) Following appropriate planning and preparation;</w:t>
              <w:br/>
              <w:t>(c) By the most appropriate health professional;</w:t>
              <w:br/>
              <w:t>(d) When the environment is appropriate and safe for successful initiation;</w:t>
              <w:br/>
              <w:t>(e) When adequate resources are assembled to ensure safe initiation.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has not been used at this facility since it opened with the exception of one resident who poses a risk of harming himself and has recently been placed in a reclining chair.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maintained a restraint-free environment, using it only as a last resort.  This has recently been the case for one hospital level resident.  A number of strategies have been implemented to achieve a restraint-free environment.  Staff are provided education on restraint, the risks of restraint, what constitutes restraint, interventions strategies, accountability and legality; residents and families are well-informed regarding the facility’s goals of maintaining a restraint-free facility and the benefits that this has for residents; falls prevention strategies are implemented with a low falls rate maintained; safe staffing levels are in place, which include lounge carers and fluid assistants;  specialling of residents is permitted for up to ten minutes at a time before other strategies are commenced (e.g., pet therapy using lifelike imitations).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Bert Sutcliffe Retirement Village Limited - Bert Sutcliffe Retirement Village</w:t>
    </w:r>
    <w:bookmarkEnd w:id="58"/>
    <w:r>
      <w:rPr>
        <w:rFonts w:cs="Arial"/>
        <w:sz w:val="16"/>
        <w:szCs w:val="20"/>
      </w:rPr>
      <w:tab/>
      <w:t xml:space="preserve">Date of Audit: </w:t>
    </w:r>
    <w:bookmarkStart w:id="59" w:name="AuditStartDate1"/>
    <w:r>
      <w:rPr>
        <w:rFonts w:cs="Arial"/>
        <w:sz w:val="16"/>
        <w:szCs w:val="20"/>
      </w:rPr>
      <w:t>4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