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Longview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Longview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July 2021</w:t>
      </w:r>
      <w:bookmarkEnd w:id="7"/>
      <w:r w:rsidRPr="009418D4">
        <w:rPr>
          <w:rFonts w:cs="Arial"/>
        </w:rPr>
        <w:tab/>
        <w:t xml:space="preserve">End date: </w:t>
      </w:r>
      <w:bookmarkStart w:id="8" w:name="AuditEndDate"/>
      <w:r w:rsidR="00A4268A">
        <w:rPr>
          <w:rFonts w:cs="Arial"/>
        </w:rPr>
        <w:t>30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Longview is part of the Presbyterian Support Central organisation (PSC).  The service provides rest home and hospital level of care for up to 59 residents.  At the time of the audit there were 59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the nurse practitioner. </w:t>
      </w:r>
    </w:p>
    <w:p w:rsidRPr="00A4268A">
      <w:pPr>
        <w:spacing w:before="240" w:line="276" w:lineRule="auto"/>
        <w:rPr>
          <w:rFonts w:eastAsia="Calibri"/>
        </w:rPr>
      </w:pPr>
      <w:r w:rsidRPr="00A4268A">
        <w:rPr>
          <w:rFonts w:eastAsia="Calibri"/>
        </w:rPr>
        <w:t>The facility manager has been in the role for two years and is a registered nurse with extensive health management experience. The facility manager is supported by a clinical nurse manager (CNM) who has been in the position for three weeks having moved from a sister home where she held the same role.  The facility manager and clinical nurse manager are supported by a clinical coordinator and a team of registered nurses.  Residents and family interviewed spoke positively about the service provided.</w:t>
      </w:r>
    </w:p>
    <w:p w:rsidRPr="00A4268A">
      <w:pPr>
        <w:spacing w:before="240" w:line="276" w:lineRule="auto"/>
        <w:rPr>
          <w:rFonts w:eastAsia="Calibri"/>
        </w:rPr>
      </w:pPr>
      <w:r w:rsidRPr="00A4268A">
        <w:rPr>
          <w:rFonts w:eastAsia="Calibri"/>
        </w:rPr>
        <w:t>This service fully met the intent of all the standards.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Commissioner’s (HDC) Code of Health and Disability Services Consumers’ Rights (the Code) are in place.  Cultural and spiritual needs are incorporated in the residents’ care plan. There is a Māori Health plan.  Residents and relatives are kept up to date when changes to health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A complaints policy and procedure are in place and complaints are managed and documented.   A complaints register is held in an electronic format. The personal privacy and values of residents are respected.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Longview home has established systems and processes and a quality and risk management system.  There are policies and procedures in place to ensure the service is meeting accepted good practice and adhering to relevant standards.</w:t>
      </w:r>
    </w:p>
    <w:p w:rsidRPr="00A4268A">
      <w:pPr>
        <w:spacing w:before="240" w:line="276" w:lineRule="auto"/>
        <w:rPr>
          <w:rFonts w:eastAsia="Calibri"/>
        </w:rPr>
      </w:pPr>
      <w:r w:rsidRPr="00A4268A">
        <w:rPr>
          <w:rFonts w:eastAsia="Calibri"/>
        </w:rPr>
        <w:t>The business plan and quality goals are documented for the services. There is a health and safety committee who meets regularly to address issues in a timely manner.  Regular audits take place as scheduled in the audit calendar.</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and there is ongoing training provided as per the training plan.  Rosters and interviews indicated that sufficient staff are appropriately skilled, with flexibility of staffing to meet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Longview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Electronic resident files included medical notes by the general practitioner, nurse practitioner and visiting allied health professionals.  There is a three-monthly general practitioner (GP) or nurse practitioner (NP)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four-weekly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PSC Longview has a current building warrant of fitness.  All rooms are single, personalised, and have a hand basin and shared toilet.  There is adequate room for the safe delivery of hospital and rest home level of care within the resident’s rooms.  Residents can freely access communal areas using mobility aids.  There are communal dining areas, craft and recreational areas, and several lounges and seating areas.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at Longview.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A van is available for transportation of residents.  </w:t>
      </w:r>
    </w:p>
    <w:p w:rsidRPr="00A4268A">
      <w:pPr>
        <w:spacing w:before="240" w:line="276" w:lineRule="auto"/>
        <w:rPr>
          <w:rFonts w:eastAsia="Calibri"/>
        </w:rPr>
      </w:pPr>
      <w:r w:rsidRPr="00A4268A">
        <w:rPr>
          <w:rFonts w:eastAsia="Calibri"/>
        </w:rPr>
        <w:t xml:space="preserve">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policies and procedures in place that meet the definition of enablers and restraint.  There were no residents using enablers or restraint.   Staff attend education around restraint minimization and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(registered nurse) along with the clinical nurse manager (CNM) is responsible for coordinating education and training for staff.  The infection control nurse has completed annual training.  There is a suite of infection control policies and guidelines to support practice.  The infection control nurse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84"/>
        <w:gridCol w:w="1280"/>
        <w:gridCol w:w="95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(four healthcare assistants, three registered nurses, two enrolled nurses, one cleaner, one diversional therapist, one laundry assistant and one food services manager) confirmed that they understand about the Health and Disability Commissioner Code of Rights, and they apply this knowledge to their daily practice. All staff receive training about the Code during their induction to the service. Three residents (one rest home and two hospital) and six relatives (three rest home and three hospital) interviewed stated they receive services that meet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where applicable are obtained on admission and updated as required.  These were sighted in the eight residents’ files reviewed (five hospital and three rest home files).  Resuscitation plans were appropriately signed.  Copies of enduring power of attorney (EPOA) for care and welfare or welfare guardian documentation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is included in the resident information pack and is provided to new residents and their family on arrival.  Advocacy brochures and contact numbers are available at the reception area.  Interviews with residents and family confirmed their understanding of the availability of advocacy services.  Staff receive regular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and attend community events and functions as able.  Church services are held on-site.  There are community volunteers involved in the activity programme.  Residents have visitors of their choice who can visit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Information about the complaints policy and procedure is provided on admission and available at reception. Interviews with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held electronically.  To date 13 complaints were lodged since January 2020.  There was documented evidence of each complaint being acknowledged, investigated and resolved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of Rights.  Regular resident meetings provide the opportunity to raise concerns.  An annual residents/relatives survey is completed.  Advocacy and Code of Rights information is included in the information pack.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can describe correctly what ‘privacy’ means to them and the residents.  Healthcare assistants interviewed reported that they always knock-on doors prior to entering the rooms, as observed during the audit.  Resident’s independence is encouraged at all times.  Cultural and spiritual beliefs and information is incorporated in the residents’ care plan.  The chaplain visits Longview Home three times a week.  Advisors are available when required.  There is a policy on abuse and neglect.  Staff receive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in place. At the time of the audit there was one resident who identified as Māori living at the facility. Cultural preferences were identified throughout the care plan.  The staff interviewed were able to explain how to meet the culture needs of residents identifying as Māori.  Longview has engaged with the local Porirua Marae, Taku Parai who provides Kaumatua services as necessary.  PSC Longview have developed a cultural group internally.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aware of the importance of meeting individual needs of residents. Individual culture and spiritual beliefs are incorporated into their care plan and reviewed regularly.  Family/whanau are invited to attend this process.  Staff receive culture competence training during their induction to the service and continues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Code of conduct is part of the new employee’s induction to the service and is signed by the new employee.  Professional boundaries are defined in job descriptions.  Healthcare assistants interviewed confirmed their understanding of professional boundaries.  Job descriptions outline scope of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Longview Home has established systems and processes which are supported by the head office.  The 20/21 business plan outlines a number of priorities such as reducing food waste and Eden alternative goal (increasing resident participation) etc.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three-year training plan is in place.  All staff including care staff and non-clinical staff are encouraged to gain relevant qualifications.  Kitchen staff are encouraged to complete their apprenticeship.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feel that they are well supported by the management with their professional development.  Residents and families interviewed reported that they are satisfied with the services received.  Resident’s satisfaction survey was carried out in Nov 2020, and results were benchmarked against other homes of Presbyterian support Central.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 service has implemented a number of quality initiatives including but not limited to; implementing an electronic resident management system, reviewing residents’ common areas to reduce the risk of falls, reviewed the dining experience, and continue to provide a resident focused evidenced based service.  Work had also been undertaken on ensuring quick access into the facility afterhours (rather than staff having to walk to let identified people in).  A video camera and a system to release the door from the nurses’ station has been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receive explanation about the services and procedures on the entry.  Resident meetings occur monthly, and matters raised from the resident meetings are communicated back to management or through staff meeting discussions.  There are two residents who speak limited English.  Processes were in place to assist communication, including sign cards and interpretation by others.  Interpreter services are made available to those residents who have difficulties with verbal or written English.  Families interviewed stated they were kept well informed on their resident’s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Longview Home provides rest home and hospital level care for up to 59 residents.  On the day of the audit, 22 residents were receiving rest home level care and 37 residents were receiving hospital level care (two hospital level residents were being funded by ACC, another hospital level resident was under long term support – chronic health contract (LTS -CHC) funding and the balance were age related residential care (ARRC) funded).  All beds are dual 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of Presbyterian Support Central (PSC) has the overall financial and governance responsibilities to govern the organisation.  PSC has a well-established organisational structure.  The philosophy, vision and values of the organisation are documented in the business plan.  PSC adopted the ‘Eden philosophy’ of care some years ago. The 2020-2021 business plan has a specific Eden goal.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joined the PSC over 18 months ago and has over 40 years health experience (with 25 years of Health Management in NZ context) working in the public, private and not-for profit sectors.  The manager is supported by a recently employed clinical nurse manager who started the role in early July 2021.  She is a registered nurse of ten years plus experience and has been in the clinical nurse manager’s role for over two years.  A clinical coordinator/RN supports the clinical nurse manager.  Both manager and clinical nurse manager are supported by the business operations manager who was onsite briefly to provide support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has the overall responsibility to run day to day operations of the Longview home.  The clinical nurse manager performs the manager’s role in the absence of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Longview Home has an established quality and risk management system.  There are policies and procedures in place to ensure the service is meeting accepted good practice and adhering to relevant standards.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compulsory meeting schedule including monthly residents and staff meetings. Meeting minutes between January and June 2021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and infection control reports completed by the clinical nurse manager.  The data is collected across the rest home and are compared to other PSC homes.  Infection control is also included as part of benchmarking across the organisation.  Data is analysed via the monthly reports and corrective actions are implemented where indicated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audit calendar in place. The monthly audit results and corrective actions are discussed at the team meetings. A resident/family satisfaction survey is completed annually. The recent survey was conducted in November 2020.  The overall satisfaction was improved compared to the previous year, especially the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quarterly health and safety committee meeting has a regular agenda.  The meeting minutes confirmed that the corrective actions were taken.  The Health &amp; Safety officer who is an enrolled nurse has been with PSC for more than 17 years, and she attends health &amp; safety training regularly.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There is a current hazard register which was reviewed in July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data is collected and analysed.  Six incident/accident files (two unwitnessed falls, one skin tear and two medication errors and one near miss) between January 2021 and June 2021 were reviewed. Family members of those six incidents were notified.  The appropriate actions were taken, and the appropriate clinical care had been provided.  Neurological observations have been competed for unwitnessed falls or where there is a potential for head injury.  Relatives have been notified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Longview home implemented a new resident management system in March 2019, and they use an internal benchmarking system utilising information from the electronic systems registers.  Improvement plans are implemented when the benchmarking figure is in the’ outlier zone’.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knowledgeable on what required notification. There had been no serious complaints or notifications required for over two years.  There have been no outbreaks in the last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Eight staff files (three health care assistants, three registered nurses (RN), one recreational therapist and one kitchenhand) were reviewed and all had relevant documentation relating to employment.  Annual practicing certificates were maintained for qualified staff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All orientation booklets are designed to cover and support the Level 2 qualifications required for the job.  All staff are required to complete a Numeracy &amp; Literacy Assessment before they start their Level 2 qualifications.  Staff interviewed were able to describe the orientation process and believed new staff were orientated well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three-year compulsory education plan for registered nurses and healthcare assistants.  A competency programme is in place with different requirements according to work type including, (but not limited to), clinical care, handling and transfer, hand washing, and medication management.  All nurses and the recreational officer (total of nine) have current first aid certificates. Each shift has a registered nurse on duty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encouraged to gain qualifications through CareerForce.  To date, seven HCAs have completed level 4 certificate in health and wellbeing, eight HCAs completed level 3 and five HCAs completed level 2; 4 new staff started the training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provide three days per annum of education for registered and enrolled nurses. These include a range of topics and speakers. The hospice undertakes syringe driver training/competencies for the registered nurses. Seven registered nurses and one enrolled nurse are interRAI trained.  A vaccinators certification had recently been undertaken by some of the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the acuity of residents.  A staff availability list ensures that staff sickness and vacant shifts are covered, and a review of rosters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they feel that staffing levels are sufficient to meet the needs of residents.  The manager and clinical manager both work 40 hours per week from Monday to Friday and the clinical manager is available on call for any clinical support on a 24/7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Longview has swing beds and rostering staff according to acuity on wings. Two RNs on am shift, Two RNs on pm shift and one RN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health care assistants for morning (6:45am to 2:45pm), and afternoon shifts (2:45pm to 10:45pm) and two health care assistants for night shifts (10:45pm to 6:45am).  There are designated staff for activities, food services and laundry/housekeeping.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Progress notes were dated, timed and signed with the designation of the writer.  Care plans and notes were legible, signed, and dated by a registered nurse including designation.  Individual resident files demonstrate service integration.  An allied health section contained general practitioner notes and the notes of allied health professionals and specialists involved in the care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to PSC Longview, potential residents have a needs assessment completed.  The service has an admission policy, admission agreement and a resident information pack available for residents/families/whānau at entry.  The information pack includes all relevant aspects of the service.  Eight admission agreements viewed were signed.  Admission agreements in the files reviewed align with contractual requirements.  Exclusions from the service are included in the admission agreement.  The clinical coordinator and registered nurses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transfer document, summary care plan and medication profile are electronically generated when residents are transferring to hospital along with Enduring Power of Attorney and resuscitation directives in the ‘yellow envelope’.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two medication trolleys are kept in a locked medication room accessed from a locked nurses’ station.  Controlled drugs are stored in a locked safe in the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healthcare assistants administer medications from robotic rolls on medication rounds.  These staff have been assessed for competency on an annual basis and attend annual medication education.  RNs attend syringe driver education.  All medication is checked on delivery against the electronic medication chart.  All medications were securely and appropriately stored.  There were no residents self-medicating on the days of the audit.  The medication fridge is maintained within the acceptable temperature range along with the medication room temperature.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16 medication charts included three monthly GP/NP reviews.  Appropriate practice was demonstrated on the witnessed medication round.  Controlled medication administration was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PSC Longview.  The Food Control Plan was verified on 7 July 2021.  The food services team leader (a qualified chef) is responsible for the operations of food services.  The kitchen team includes the food services team leader, a second chef and kitchenhands.  There is a five weekly rotating summer and winter menu that is reviewed by the company dietitian.  Food services policies and procedures manual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chef has access to the electronic patient management system and maintains a list of residents’ dietary requirements that include likes/dislikes.  Alternative choices are offered.  The chef is informed of dietary changes and any residents with weight loss.  Dietary needs are met including normal, pureed meals and finger foods.  Specialised utensils and lip plates are available as required.  Input from residents and food surveys, provide resident feedback on the meals and food services.  There is also a comment book in the dining room where residents may record (or have recorded for them) comments about the meal they have just had.  Residents and relatives interviewed confirmed likes/dislikes are accommodated and alternative choices offered.  The service has redesigned the dining to improve the dining experience, a chef has been employed to ensure the food is presentable and palatable.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Longview have moved the main meal to the evening which has proved to be a huge benefit to the residents with more attending the dining room in the evening rather than trays in their rooms.  This allows residents freedom during the day to go out and return later as they are not going to miss out on the main meal, and more are inviting family and friends to join them for a meal.  The lunch time meal is now the light meal and is soup/toast, savoury item i.e. bacon and egg pie, cold meat, salad, sandwiches and fruit.  With the main meal now served at 6.00pm, staff report they have seen improvements for residents including more alertness and attendance at afternoon recreation activities and social interaction where mealtimes are being elongated with residents staying to chat and are also sleeping a lot better through the night.  The Sunday meal is now at lunchtime, so provide an opportunity to families to join in, but also to provide a differentiation to the sameness of each day.  The service has recently introduced a Saturday Brunch, with a view to this being a long-relaxed mealtime, again affording families with the opportunity to join in.  </w:t>
            </w:r>
          </w:p>
          <w:p w:rsidR="00EB7645" w:rsidRPr="00BE00C7" w:rsidP="00BE00C7">
            <w:pPr>
              <w:pStyle w:val="OutcomeDescription"/>
              <w:spacing w:before="120" w:after="120"/>
              <w:rPr>
                <w:rFonts w:cs="Arial"/>
                <w:b w:val="0"/>
                <w:lang w:eastAsia="en-NZ"/>
              </w:rPr>
            </w:pPr>
            <w:r w:rsidRPr="00BE00C7">
              <w:rPr>
                <w:rFonts w:cs="Arial"/>
                <w:b w:val="0"/>
                <w:lang w:eastAsia="en-NZ"/>
              </w:rPr>
              <w:t>A self-serve station in the main dining room is available for lunch and tea meals for those that wish to serve themselves.  All other meals are dished direct from a bain-marie in the lounge and either served to residents in the main dining room or delivered on trays to residents in their room or smaller dining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Holding temperatures are taken from the self-serve bain-marie.  Fridge and freezer temperatures are recorded.  Dry foods in the pantry are dated and sealed.  Perishable foods in the chiller and refrigerators are date-labelled and stored correctly.  The well-appointed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Safety data 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entry is declined, the management staff at PSC Longview communicate directly with the referring agencies and potential resident or family/whānau as appropriate.  The reason for declining entry to the service would be if there were no beds available or the service could not meet the assessed level of care.  The CNM visits the resident prior to acceptance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RN completes an initial admission assessment within 24 hours which includes relevant risk assessment tools for all residents.  These risk assessments are reviewed six-monthly as part of the evaluation.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Of the eight files reviewed, seven included interRAI assessments all within required timeframes.  The ACC resident was not required to have an interRAI assessment completed.  This file evidenced full assessments were completed.  Additional assessments for management of behaviour and wound care were appropriately completed according to need.  Interventions in care plans reflected assessments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develops the long-term support plan from information gathered over the first three weeks of admission.  Care plans are individually developed with the resident, and family involvement is included where appropriate.  The RN is responsible for all aspects of care planning.  Care plans included goals and specific interventions for all identified care needs.  Assessments and care plans included input from allied health including the GP and NP, nurse specialist, and podiatry.  Physiotherapy is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updated with changes as they occur.  Short-term care plans are integrated with wound management plans and provide direction for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GP and NP notes and allied health professional progress notes are evident in the residents integrated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summary of health held in the resident’s electronic records documents significant events, investigations, GP/NP visits and outcomes.  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14 wounds including one non facility acquired Stage II pressure injury being treated on the day of the audit.  Three rest home residents had one wound each and one hospital resident had two wounds (including the pressure injury), one hospital resident had three wounds, one had two wounds and four had one wound each.  All wounds were fully reviewed.  Wound assessments, plan and evaluations had been completed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GP involvement and wound nurse specialist involvement for the pressure injury and involvement of the HVDHB plastics clinic for another wound.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alerted to the requirement to complete electronic daily monitoring charts and are advised of specific resident needs at handovers.  The active short-term care plans and long-term care plans are in the electronic software system used for resident care.  Monitoring charts such as weight, blood pressure and pulse, fluid balance charts, food and fluid intake charts, blood sugar level monitoring and behaviour monitoring charts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recreation officers.  The full time (qualified) and part time recreation officers provide a seven day a week activities programme for rest home and hospital level care residents.  A chaplain also provides spiritual and pastoral care to residents and chairs resident meetings.  There are eight volunteers who work with recreation staff to provide entertainment and events to residents, including games, craft, outings and quizzes.  There are two canine friends who have been visiting the residents regularly three times a week.</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on a weekly A3 calendar with large font (a copy is also delivered to each resident).  It includes (but is not limited to) chair exercises, moving to music, old fashioned morning tea, musical instruments and sing a longs, school visits fortnightly and church services.  There are regular outings into the community with a volunteer van driver and a recreation officer with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activities to meet the recreational preferences and individual abilities of the residents.  One-on-one time is spent with residents who choose not to participate in the group programme.  The activities coordinator completes a resident social profile and activities assessment on admission.  Each resident has an individualised activity plan which is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 has involvement in what they wish to do and has separate outings into the community twice a week and is assisted in cooking what they like at the facility.  Residents have the opportunity to provide feedback on the programme through three monthly resident meetings and survey results and at the weekly Eden Circle ‘high tea’.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eight residents’ files sampled had been in the facility for longer than six months.  There was evidence in these files of evaluations and review of the care plan. There was at least a three-monthly review by the GP/NP.  Evaluations clearly documented resident progress, or not, towards goals and care plans reflected any changes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The residents and their families are kept informed of the referrals made by the service.  The RNs interviewed described the referral process to other medical and non-medical services including the wound nurse specialist, speech language therapist, dietitian, physiotherapist and podiatrist. Advice from allied health professionals is evident in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A chemical spills kit is available.  The contracted supplier provides the chemicals, safety data sheets, wall product charts and chemical safety training as required.  Approved containers are used for the safe disposal of sharps.  Personal protective equipment (gloves, aprons, goggles) is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dated 19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employed eight hours per week and carries out minor repairs and maintenance, reactive and preventative maintenance.  There is an annual maintenance plan, with monthly checks, which include hot water temperatures, testing the generators,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(except for one area at present – it is undergoing a revamp of the landscaping).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healthcare assistants and RNs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external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There are an adequate number of toilets and shower/bathing areas for residents and separate toilets for staff and visitors.  Call bells are available in all toilet/shower areas.  All bedrooms have a hand basin and share an ensuite toilet.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rest home or hospital level of care.  The bedrooms allow for the resident to move about the room independently or with the use of mobility aids.  The hospital bedrooms are spacious enough to manoeuvre hoists (a number of the rooms have now had ceiling hoists fitted) and hospital level lounge chairs.  The bedrooms have wide doors for ambulance or bed entry/exit.  Residents and their families are encouraged to personalise the bedrooms as viewed.  Residents interviewed confirmed their bedrooms are sufficiently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spacious lounge and dining area to meet the needs of the residents.  There is also a chapel (used for a number of activities) and a large craft room to allow for activities, resident relaxation and to provide privacy for residents and visitors.  Two wings have smaller lounge/dining areas and there is a conservatory which has been refurbished.  The facility design allows for freedom of movement for all residents including those with mobility aids.  Staff assist residents to access communal living areas as required and this was observed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seven days a week from 9am to 3.30 pm.  There is a defined clean and dirty area of the laundry and an entry and exit door.  The laundry is well equipped, and the machinery is regularly serviced.  Personal protective clothing is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Two cleaners are rostered on for four and a half hours each day Monday to Sunday.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annual education and training programme include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readily available in the facility in the event of a civil defence emergency including food, water, and blankets.  Two gas barbeques and generators are available in the event of a power outage.  There are four large water tanks – one recently installed adjacent to the building which is easily accessed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All registered nurses, enrolled nurses and diversional therapist hold a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(ICC) is an RN who has been in the role for three weeks and has a current job description.  The ICC is in the position whilst the previous ICC is on leave. The ICC had undertaken training at Kenepuru Hospital in May 2021.  The infection control coordinator is supported by the clinical manager.  Infection control reporting is integrated into the senior team/clinical meeting for discussion around events, trends and corrective actions.  The infection control programme, its content and detail, is appropriate for the size, complexity and degree of risk associated with the service.  The scope of the infection control programme policy and infection control programme description is available.  The programme is reviewed annually in consultation with all PSC infection control coordinators peer support day held with the PSC clinical director and nurse consultant.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At the time of audit relatives had been asked to not bring children under twelve years of age to visit at the facility as there was respiratory virus currently active in the community.  Hand sanitisers are appropriately placed throughout the facility.  There is enough personal protective equipment available.  Residents and staff are offered the influenza vaccine and covid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training at the local public hospital and receives support and information from PSC IC Coordinator.  On audit there was evidence of information relating to covid including information on outbreak management, education for staff, signage and audits.  Along with ready support to expertise within the PSC organisation the infection control coordinator has access to the DHB infection control nurse specialist, public health, GP/NP and laboratory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range of IC policies, standards and guidelines and includes defining roles, responsibilities and oversight, the infection control team, training and education of staff.  The infection control policies and procedures are developed and reviewed by the organisational policy review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part of the annual education schedule.  All staff complete infection control education on orientation.  Registered nurses and enrolled nurses complete self-learning packages and attend training days.  Infection control training was held in May, June and July 2021 (link 1.2.7.5) including management of an outbreak.  Infection control is discussed at all facility meetings and at handovers.  Hand hygiene audits are completed annually.  There is an infection control board in the staffroom with notices, meeting minutes, staff newsletters and graphs to keep staff informed on infection control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and the CNM uses the information obtained through surveillance to determine infection control activities, resources and education needs at PSC Longview.  Internal infection control audits also assist the service in evaluating infection control needs.  A monthly collation of reported infections from the electronic system is analysed with trends and corrective actions identified.  Surveillance data is discussed at senior team meetings and clinical meetings.  Infection Control data is benchmarked with fellow homes and the PSC infection control coordinator checks data overall to advise on actions, changes and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consistent with the definitions in NZS 8134.0. The clinical nurse manager is the designated restraint coordinator and confirmed that she is responsible for completing restraint assessments.  She also monitors staff compliance to restraint processes.  Interviews with the staff confirmed their understanding of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Staff training on restraint minimisation and management of challenging behaviours has been provided as per PSC three-year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residents with restraint or enablers in the services.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Longview Home</w:t>
    </w:r>
    <w:bookmarkEnd w:id="58"/>
    <w:r>
      <w:rPr>
        <w:rFonts w:cs="Arial"/>
        <w:sz w:val="16"/>
        <w:szCs w:val="20"/>
      </w:rPr>
      <w:tab/>
      <w:t xml:space="preserve">Date of Audit: </w:t>
    </w:r>
    <w:bookmarkStart w:id="59" w:name="AuditStartDate1"/>
    <w:r>
      <w:rPr>
        <w:rFonts w:cs="Arial"/>
        <w:sz w:val="16"/>
        <w:szCs w:val="20"/>
      </w:rPr>
      <w:t>29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