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Waiuku Hospital and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Waiuku Hospital and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July 2021</w:t>
      </w:r>
      <w:bookmarkEnd w:id="7"/>
      <w:r w:rsidRPr="009418D4">
        <w:rPr>
          <w:rFonts w:cs="Arial"/>
        </w:rPr>
        <w:tab/>
        <w:t xml:space="preserve">End date: </w:t>
      </w:r>
      <w:bookmarkStart w:id="8" w:name="AuditEndDate"/>
      <w:r w:rsidR="00A4268A">
        <w:rPr>
          <w:rFonts w:cs="Arial"/>
        </w:rPr>
        <w:t>23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Waiuku is part of the CHT group of facilities.  The facility is purpose-built providing two levels of care (hospital – geriatric/medical and rest home for up to 60 residents.  On the day of audit there were 58 residents.  The residents and relatives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 </w:t>
      </w:r>
    </w:p>
    <w:p w:rsidRPr="00A4268A">
      <w:pPr>
        <w:spacing w:before="240" w:line="276" w:lineRule="auto"/>
        <w:rPr>
          <w:rFonts w:eastAsia="Calibri"/>
        </w:rPr>
      </w:pPr>
      <w:r w:rsidRPr="00A4268A">
        <w:rPr>
          <w:rFonts w:eastAsia="Calibri"/>
        </w:rPr>
        <w:t>There are well-developed systems, processes, policies and procedures that are structured to provide appropriate quality care for people who use the service. Implementation is supported through the quality and risk management programme.  Quality initiatives are implemented which provide evidence of improved services for residents.</w:t>
      </w:r>
    </w:p>
    <w:p w:rsidRPr="00A4268A">
      <w:pPr>
        <w:spacing w:before="240" w:line="276" w:lineRule="auto"/>
        <w:rPr>
          <w:rFonts w:eastAsia="Calibri"/>
        </w:rPr>
      </w:pPr>
      <w:r w:rsidRPr="00A4268A">
        <w:rPr>
          <w:rFonts w:eastAsia="Calibri"/>
        </w:rPr>
        <w:t>A comprehensive orientation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There were no areas for improvement identified at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 and families.  The Health and Disability Commissioner (HDC) Code of Health and Disability Services Consumers' Rights (the Code) is evident in the entrance and on noticeboards.  Policies are implemented to support rights such as: privacy, dignity, abuse and neglect, culture, values and beliefs, complaints, advocacy and informed consent.  Care planning accommodates individual choices of residents and/or their family/whānau.  Family state they are kept well informed on their relative’s health status.  Residents are encouraged to maintain links with the community.  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CHT Waiuku has a fully implemented, robust quality and risk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nursing staff are responsible for each stage of service provision.  The assessments and long-term care plans are developed in consultation with the resident/family/whānau and implemented within the required timeframes to ensure there is safe, timely and appropriate delivery of care. </w:t>
      </w:r>
    </w:p>
    <w:p w:rsidRPr="00A4268A" w:rsidP="00621629">
      <w:pPr>
        <w:spacing w:before="240" w:line="276" w:lineRule="auto"/>
        <w:rPr>
          <w:rFonts w:eastAsia="Calibri"/>
        </w:rPr>
      </w:pPr>
      <w:r w:rsidRPr="00A4268A">
        <w:rPr>
          <w:rFonts w:eastAsia="Calibri"/>
        </w:rPr>
        <w:t xml:space="preserve">The sample of residents’ records reviewed provides evidence that the provider has implemented systems to assess and plan care needs of the residents.  The residents' needs, outcomes/goals have been identified in the long-term nursing care plans and these are reviewed at least six monthly or earlier if there is a change to health status.  </w:t>
      </w:r>
    </w:p>
    <w:p w:rsidRPr="00A4268A" w:rsidP="00621629">
      <w:pPr>
        <w:spacing w:before="240" w:line="276" w:lineRule="auto"/>
        <w:rPr>
          <w:rFonts w:eastAsia="Calibri"/>
        </w:rPr>
      </w:pPr>
      <w:r w:rsidRPr="00A4268A">
        <w:rPr>
          <w:rFonts w:eastAsia="Calibri"/>
        </w:rPr>
        <w:t xml:space="preserve">The activity programme is developed to promote resident independence, involvement, emotional wellbeing and social interaction appropriate to the level of physical and cognitive abilities of the rest home, hospital and dementia care residents.  </w:t>
      </w:r>
    </w:p>
    <w:p w:rsidRPr="00A4268A" w:rsidP="00621629">
      <w:pPr>
        <w:spacing w:before="240" w:line="276" w:lineRule="auto"/>
        <w:rPr>
          <w:rFonts w:eastAsia="Calibri"/>
        </w:rPr>
      </w:pPr>
      <w:r w:rsidRPr="00A4268A">
        <w:rPr>
          <w:rFonts w:eastAsia="Calibri"/>
        </w:rPr>
        <w:t>Medication polices reflect legislative requirements and guidelines.  Staff responsible for administration of medications complete education and medication competencies.  The medication charts reviewed meet prescribing requirements and had been reviewed at least three-monthly.</w:t>
      </w:r>
    </w:p>
    <w:p w:rsidRPr="00A4268A" w:rsidP="00621629">
      <w:pPr>
        <w:spacing w:before="240" w:line="276" w:lineRule="auto"/>
        <w:rPr>
          <w:rFonts w:eastAsia="Calibri"/>
        </w:rPr>
      </w:pPr>
      <w:r w:rsidRPr="00A4268A">
        <w:rPr>
          <w:rFonts w:eastAsia="Calibri"/>
        </w:rPr>
        <w:t xml:space="preserve">Food services and all meals are prepared on site.  Resident’s individual food preferences and dislikes are known by kitchen staff and those serving the meals.  There is dietitian review of the menu.  Choices are available and are provided, with nutritious snacks being provided 24 hours per day.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certificate, and all external areas were accessible and of an appropriate standard.  There is a preventative and planned maintenance schedule in place.  Chemicals are stored securely throughout the facility.  Staff receive training and education to ensure safe and appropriate handling of waste and hazardous substances.  Electrical equipment has been tested and tagged.  All medical equipment and all hoists have been serviced and calibrated.  Residents can freely mobilise within the communal areas with safe access to the outdoors, seating and shade.  Fixtures, fittings and flooring is appropriate and toilet/shower facilities are constructed for ease of cleaning.  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 staff member trained in CPR and first aid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and procedures on safe restraint use and enablers.  A registered nurse is the restraint coordinator.  On the day of the audit, there were two residents with restraints in use (lap belts) and one resident using bed rails as an enabler.  Staff receive training around restraint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 policies, standards and procedures to guide staff.  The infection control programme and its content and detail are appropriate for the size, complexity and degree of risk associated with the service.  The infection control coordinator (RN) is responsible for coordinating/providing education and training for staff.  The infection control coordinator uses the information obtained through surveillance to determine infection control activities, resources and education needs within the facility.  A monthly infection control report is completed and forwarded to head office for analysis and benchmarking with other CHT facilities.  There has been one outbreak since the last audit which was appropriately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49"/>
        <w:gridCol w:w="1280"/>
        <w:gridCol w:w="96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around resident rights.  Four residents (two rest home and two hospital level of care including one resident on an ACC contract), and five relatives (five hospital level) interviewed, confirmed that information has been provided around the code of rights.  Residents state that their rights are respected when receiving services and care.  Discussion with seven health care assistants (HCAs), four registered nurses (RN), two activities coordinators, a chef, maintenance staff and one cleaner identified that they are aware of The Health and Disability Commissioner Code of Health and Disability Services Consumers’ Rights (the Code) and could describe the key principles of resident’s rights when delivering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reviewed in eight resident files (four hospital and four rest home) were signed by the resident or their enduring power of attorney (EPOA).  Written consents were sighted for specific procedures. </w:t>
            </w:r>
          </w:p>
          <w:p w:rsidR="00EB7645" w:rsidRPr="00BE00C7" w:rsidP="00BE00C7">
            <w:pPr>
              <w:pStyle w:val="OutcomeDescription"/>
              <w:spacing w:before="120" w:after="120"/>
              <w:rPr>
                <w:rFonts w:cs="Arial"/>
                <w:b w:val="0"/>
                <w:lang w:eastAsia="en-NZ"/>
              </w:rPr>
            </w:pPr>
            <w:r w:rsidRPr="00BE00C7">
              <w:rPr>
                <w:rFonts w:cs="Arial"/>
                <w:b w:val="0"/>
                <w:lang w:eastAsia="en-NZ"/>
              </w:rPr>
              <w:t>Advanced directives and/or resuscitation status are signed for separately by the competent resident.  Copies of EPOA are kept on the resident’s file where required.  Staff interviewed, confirmed verbal consent is obtained when delivering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of long-term residents have signed admission agreements, and the interim funding care resident has a signed short-term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are provided with a copy of the Code of Health and Disability Services Consumer Rights and Advocacy pamphlets on entry.  Resident advocates are identified during the admission process.  A representative from advocacy services visits six monthly and attends resident and staff meetings.  Pamphlets on advocacy services are available at the entrance.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and relatives confirms their understanding of the availability of advocacy services.  Staff receive education and training on the role of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and family/whānau and friends are encouraged to visit the home and are not restricted to visiting times.  All residents interviewed confirm that family and friends are able to visit at any time and visitors were observed attending the home.  Residents and relatives verified that they have been supported and encouraged to remain involved in the community.  The service has actively promoted community involvement including placement of college students for community service, facilitating practical experience for college HCA students, visits from the local college choir, brownies, cubs and scouts and cultural groups.  Several local groups and various individuals volunteer at CHT Waiuku.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policy/procedure in place and the complaints process is provided to residents and relatives on entry to the service, complaints forms are available to residents and relatives.  A record of all complaints is maintained on the on-line complaint register.  The facility manager manages complaints.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all residents and relatives confirmed their understanding of the complaints process.  Staff interviewed were able to describe the process around reporting complaints and discussion around concerns, complaints and compliments are evident in facility meeting minutes.  Discussion around concerns, complaints and compliments are evident in facility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Complaints are being managed in a timely manner, meeting requirements determined by the Health and Disability Commissioner (HDC).  There is evidence of lodged complaints being discussed in manager and staff meetings.  There were nine complaints received in 2020 and one complaint in 2021 year to date.  Complaints reviewed have been documented as resolved with appropriate corrective actions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information available on The Health and Disability Commissioner Code of Health and Disability Services Consumers’ Rights (the Code) at the main entrance to the facility.  The Code (English and Māori) is also displayed in the resident areas.  There is a welcome information folder that includes information about the Code.  The resident, family or legal representative has the opportunity to discuss this prior to entry and/or at admission with either the unit manager or the clinical manager.  Residents and relatives state they receive sufficient verbal and written information to be able to make informed choices on matters that affect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physical and personal privacy for residents.  During the audit, staff were observed treating residents with respect and ensuring their dignity is maintained.  Staff are able to describe how they maintain resident privacy, including knocking on the resident’s doors before entering as observed on the day of audit.  Education around privacy and dignity, prevention of abuse and neglect in-service is provided as part of the education plan.  Resident’s cultural, social, religious and spiritual beliefs are identified on admission and included in the resident’s care plan/activity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cultural awareness policies and a Māori health plan to guide staff in the delivery of culturally safe care.  There are supporting policies that provide recognition of Māori values and beliefs and identify culturally safe practices for Māori.  Links are established with Tainui-Ngai Te Atu and the kapa haka group.  Other community representative groups can be accessed as requested.  Family/whānau involvement is recognised and acknowledged by staff.  There were no residents who identified with Māori culture.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 culturally appropriate service by identifying any cultural needs as part of the assessment and planning process.  Care plans are reviewed at least six- monthly to ensure the resident’s individual culture, values and beliefs are being met.  Care plans reviewed include specific interventions related to individual residents cultural and spiritual needs.  Staff recognise and respond to values, beliefs and cultural differences.  Residents are supported to maintain their spiritual needs with weekly church services and visiting clergy who provide pastoral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employment process meets best practice with regard to recruitment, including reference checks and police vetting.  Professional boundaries are defined in job descriptions.  Staff were observed to be professional within the culture of a family environment.  Caregivers interviewed were able to describe how they recognise and report any suspected abuse and the service’s zero tolerance policy.  Residents interviewed stated that they are treated fairly and with respect.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policies and procedures that provide a good level of assurance that it is adhering to relevant standards.  Policies are reviewed as changes to legislation or practice occurs with these updated at regular intervals at an organisation level.  Health care assistants and registered nurses (RNs) have access to internal and external education opportunities.  Clinical staff have access to the internet and external expertise if they need to consult and/or gain further clinical knowledge or advice with this able to be described by clinical staff.  The education programme includes mandatory training requirements for staff and other significant clinical aspects of care delivery.  The service employs a physiotherapist for eight hours per week over two dedicated days, who assesses all new residents and completes resident mobility assessments and fall reviews.  Residents and families speak positively about the care provided. </w:t>
            </w:r>
          </w:p>
          <w:p w:rsidR="00EB7645" w:rsidRPr="00BE00C7" w:rsidP="00BE00C7">
            <w:pPr>
              <w:pStyle w:val="OutcomeDescription"/>
              <w:spacing w:before="120" w:after="120"/>
              <w:rPr>
                <w:rFonts w:cs="Arial"/>
                <w:b w:val="0"/>
                <w:lang w:eastAsia="en-NZ"/>
              </w:rPr>
            </w:pPr>
            <w:r w:rsidRPr="00BE00C7">
              <w:rPr>
                <w:rFonts w:cs="Arial"/>
                <w:b w:val="0"/>
                <w:lang w:eastAsia="en-NZ"/>
              </w:rPr>
              <w:t>The chief executive officer and area manager run staff focus groups twice a year which expand on customer satisfaction surveys and matters of current interest.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promote an open-door policy.  Relatives/residents are aware of the open-door policy and confirm on interview that the staff and management are approachable and available.  Residents/relatives have the opportunity to feedback on service delivery through resident meetings and annual surveys.  The resident meetings are bi-monthly and are attended by the kitchen manager and external speakers such as a health and disability advocate.  Residents and relatives receive seasonal newsletters four times a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forms reviewed document that relatives have been notified of the incident.  Relatives interviewed state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have to pay for that is not covered by the agreement.  An interpreter service is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Waiuku is part of the CHT group of facilities. The building is a purpose-built single level facility providing hospital – geriatric/medical and rest home, for up to 60 residents.  On the day of audit there were 58 residents cared for in five dual purpose wings.  There were 13 rest home level residents and 45 hospital residents including one on an ACC contract and one resident on a primary options acute care contract. All other residents were under the age-related residential care services agreement.  The organisation has a philosophy of care, which includes a mission statement.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a registered nurse who maintains an annual practising certificate and has been in the role for four years.  The clinical coordinator is a registered nurse who commenced in her role the week of audit. She trained as an RN in India and immigrated to New Zealand as an RN in February 2014.  The clinical coordinator has worked in various roles in aged care and in the DHB since arrival and has previously worked as an acting clinical coordinator in another CHT facility.  She is trained in interRAI and has a current first aid certificate.  Her medication competencies (including syringe driver) were up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reports to the area manager weekly on a variety of operational issues.  The unit manager has completed in excess of eight hours of professional development in the past 12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CHT has an overall business/strategic plan and CHT Waiuku has a facility quality and risk management programme in place for the current year.   Waiuku has set a number of quality goals, and these also link to the organisation’s strategic goals. The unit managers performance plan was last reviewed in April and incorporates objectives from the strategic plan.  A new CEO was appointed on 5 July 2021 and a strategic for CHT is in progress.  The performance and business plan for Waiuku April 2021, to March 2022 is completed but awaiting board approval.  The organisation has a philosophy of care, which includes a mission statement. </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and the clinical coordinator have completed in excess of eight hours of professional development in the past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facility manager the clinical coordinator will provide management oversight of the facility with the support of the area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business/strategic plan that includes quality goals and risk management plans for CHT Waiuku.  There is evidence that the quality system continues to be implemented at the service.  The performance plan for the facility includes quality goals (strategic themes) with associated actions, milestones and dates achieved.  The quality and risk management programme is designed to monitor contractual and standards compliance.  The service's policies are reviewed at national level with input from facility staff every two years.  New/updated policies are sent from head office.  Staff have access to file vision manuals and are alerted to changes via a weekly newsletter which is emailed to all staff and posted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advised that she is responsible for providing oversight of the quality programme.  Interviews with the managers and staff and review of meetings including monthly registered nurse meetings and three-monthly quality/health and safety meeting minutes confirmed that quality systems developed by CHT are being implemented.    A comprehensive internal audit that covers all aspects of the service against the health and disability sector standards is completed at least six-monthly by the area manager (January and May 2021).  Other audits including infection control, restraint, environment health and safety are also completed as per the internal audit schedule.</w:t>
            </w:r>
          </w:p>
          <w:p w:rsidR="00EB7645" w:rsidRPr="00BE00C7" w:rsidP="00BE00C7">
            <w:pPr>
              <w:pStyle w:val="OutcomeDescription"/>
              <w:spacing w:before="120" w:after="120"/>
              <w:rPr>
                <w:rFonts w:cs="Arial"/>
                <w:b w:val="0"/>
                <w:lang w:eastAsia="en-NZ"/>
              </w:rPr>
            </w:pPr>
            <w:r w:rsidRPr="00BE00C7">
              <w:rPr>
                <w:rFonts w:cs="Arial"/>
                <w:b w:val="0"/>
                <w:lang w:eastAsia="en-NZ"/>
              </w:rPr>
              <w:t>A range of data (e.g., falls, skin tears, pressure injuries, infections, property incidents, complaints, medication errors) are collected, collated and analysed at head office. The data is analysed, and trends are identified.  Monthly comparisons including benchmarking against other CHT facilities include trend analysis and graphs.  Areas of non-compliance identified through quality activities are actioned for improvement.  Results are discussed in the three-monthly quality/health and staff meetings and monthly RN meeting.  Minutes and quality data graphs are posted in the staffroom for staff who did not attend to read.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meetings are held monthly and minutes report discussion around falls prevention, continence, wound care, weight, nutrition (REAP), restraint and infection control Restraint and enabler use is reported within the quality meetings.  Interviews with staff confirmed that quality data is discussed at bimonthly staff meetings and the three-monthly quality health and safety staff meeting.  </w:t>
            </w:r>
          </w:p>
          <w:p w:rsidR="00EB7645" w:rsidRPr="00BE00C7" w:rsidP="00BE00C7">
            <w:pPr>
              <w:pStyle w:val="OutcomeDescription"/>
              <w:spacing w:before="120" w:after="120"/>
              <w:rPr>
                <w:rFonts w:cs="Arial"/>
                <w:b w:val="0"/>
                <w:lang w:eastAsia="en-NZ"/>
              </w:rPr>
            </w:pPr>
            <w:r w:rsidRPr="00BE00C7">
              <w:rPr>
                <w:rFonts w:cs="Arial"/>
                <w:b w:val="0"/>
                <w:lang w:eastAsia="en-NZ"/>
              </w:rPr>
              <w:t>Resident/relative meetings are held monthly, and a quarterly newsletter is sent to all family and residents.  Residents and families are surveyed to gather feedback on the service provided and the outcomes are communicated to residents, staff and families.  Resident satisfaction surveys are regularly sent to residents and family.  Survey results are collated, trended and analysed and results are shared with staff and family at meetings and minuted.  Overall, all areas reported high levels of satisfaction. No trends were identified The UC stated Corrective actions would be implemented if concerns were identified.  Interview with family confirmed that individual concerns and opportunities for improvement are addressed.</w:t>
            </w:r>
          </w:p>
          <w:p w:rsidR="00EB7645" w:rsidRPr="00BE00C7" w:rsidP="00BE00C7">
            <w:pPr>
              <w:pStyle w:val="OutcomeDescription"/>
              <w:spacing w:before="120" w:after="120"/>
              <w:rPr>
                <w:rFonts w:cs="Arial"/>
                <w:b w:val="0"/>
                <w:lang w:eastAsia="en-NZ"/>
              </w:rPr>
            </w:pPr>
            <w:r w:rsidRPr="00BE00C7">
              <w:rPr>
                <w:rFonts w:cs="Arial"/>
                <w:b w:val="0"/>
                <w:lang w:eastAsia="en-NZ"/>
              </w:rPr>
              <w:t>There are risk management, and health and safety policies and procedures in place including accident and hazard management.  Health and safety representatives include HCA’s and a RN.  All representatives have had external training related to their roles.  The hazard register was up to date and is regularly monitored by the health and safety officer.  Contractors are orientated to health and safety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and staff receive training to support falls prevention.  Strategies are in place to reduce the number of residents’ falls.  All new residents and residents who have experienced a fall are assessed by a physiotherapist and individual plans to minimise future falls are implemented.  Sensor mats are used for those residents who are at risk of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on forms, which are collated monthly and are discussed at the staff meetings, quality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incident forms were reviewed.  All incident forms identified a timely RN assessment of the resident and corrective actions to minimise resident risk.  Neurological observations had been completed for unwitnessed falls and any known head injury.  The next of kin had been notified for all required incidents/accidents.  The healthcare assistants interviewed could discuss the incident reporting process.  The clinical coordinator collects incident forms, investigates and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interviewed could describe situations that would require reporting to relevant authorities.  There have been eleven section 31 reports to the Ministry of Health since the previous audit for occasions where it was not possible to provide onsite RN roster cover.  An infectious outbreak was reported to the local DHB in April 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cover recruitment, selection, orientation and staff training and development.  Eight staff files reviewed (two RNs, one clinical coordinator, one activities coordinator/HCA and four healthcare assistants) reflected evidence of reference checking, signed employment contracts and job descriptions, completed orientation programmes and annual performance appraisals.  The orientation programme provides new staff with relevant information for safe work practice.  Orientation is specific to the individual’s job role and responsibilities.  Current registered nursing staff and external health professionals (general practitioners, physiotherapist, pharmacists, podiatrist) practising certificates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and training plan that exceeds eight hours annually per staff member.  Training is primarily online with competency assessments linked to training.  A register for each training session and an individual staff member record of training was verified.  Additional training had included Covid-19 (infection control, personal protective equipment), EPOA and advance directive training, early identification of CVA’s, and effective monitoring of the acutely unwell resident for registered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Seven of the eight registered nurses have completed their interRAI training.  The unit manager and clinical coordinator attend monthly management meetings which include an education component relevant to managing an aged care facility.  Registered nurses are able to attend external training including sessions provided by the local DHB.  An HCA and RN working as Health and Safety representatives, both have completed relevant external training.  The service encourages Careerforce qualifications for staff.     The majority of the 36 HCA’s have level 3 or level 4 Careerforce qualifications.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is in place to determine staffing levels and skill mixes for safe service delivery.  There is a roster that provides sufficient and appropriate coverage for the effective delivery of care and support.  The unit manager and clinical coordinator are on duty during the day Monday to Friday.  At present the Unit Manager has responsibility for all call but once the clinical coordinator completes orientation, the responsibility will be shared.  It is envisaged both share the on-call requirement for clinical concerns on a rotational basis.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five wings.   Healthcare assistants are allocated responsibilities on the day.</w:t>
            </w:r>
          </w:p>
          <w:p w:rsidR="00EB7645" w:rsidRPr="00BE00C7" w:rsidP="00BE00C7">
            <w:pPr>
              <w:pStyle w:val="OutcomeDescription"/>
              <w:spacing w:before="120" w:after="120"/>
              <w:rPr>
                <w:rFonts w:cs="Arial"/>
                <w:b w:val="0"/>
                <w:lang w:eastAsia="en-NZ"/>
              </w:rPr>
            </w:pPr>
            <w:r w:rsidRPr="00BE00C7">
              <w:rPr>
                <w:rFonts w:cs="Arial"/>
                <w:b w:val="0"/>
                <w:lang w:eastAsia="en-NZ"/>
              </w:rPr>
              <w:t>Across the facility, there are two RN’s working morning shifts (both long shifts) and two RNs on afternoon shift (2 long) and one RN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part time activity coordinators covering for Monday to Saturday ( one five hours shift  and one three hours shift  for Monday to Friday and one five hours on Saturday). The service is advertising for staff to cover Sunday activities There are three HCA’s and one RN on night shift across the facility.  </w:t>
            </w:r>
          </w:p>
          <w:p w:rsidR="00EB7645" w:rsidRPr="00BE00C7" w:rsidP="00BE00C7">
            <w:pPr>
              <w:pStyle w:val="OutcomeDescription"/>
              <w:spacing w:before="120" w:after="120"/>
              <w:rPr>
                <w:rFonts w:cs="Arial"/>
                <w:b w:val="0"/>
                <w:lang w:eastAsia="en-NZ"/>
              </w:rPr>
            </w:pPr>
            <w:r w:rsidRPr="00BE00C7">
              <w:rPr>
                <w:rFonts w:cs="Arial"/>
                <w:b w:val="0"/>
                <w:lang w:eastAsia="en-NZ"/>
              </w:rPr>
              <w:t>Edgewater – 19 beds (13 hospital and four rest home residents)</w:t>
            </w:r>
          </w:p>
          <w:p w:rsidR="00EB7645" w:rsidRPr="00BE00C7" w:rsidP="00BE00C7">
            <w:pPr>
              <w:pStyle w:val="OutcomeDescription"/>
              <w:spacing w:before="120" w:after="120"/>
              <w:rPr>
                <w:rFonts w:cs="Arial"/>
                <w:b w:val="0"/>
                <w:lang w:eastAsia="en-NZ"/>
              </w:rPr>
            </w:pPr>
            <w:r w:rsidRPr="00BE00C7">
              <w:rPr>
                <w:rFonts w:cs="Arial"/>
                <w:b w:val="0"/>
                <w:lang w:eastAsia="en-NZ"/>
              </w:rPr>
              <w:t>•  AM shift - 3 HCA’s (one long shift, two short)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PM shift – 1 HCA’s (one long shift) and 1 HCA floater 3pm – 8pm between Edgewater and Portside </w:t>
            </w:r>
          </w:p>
          <w:p w:rsidR="00EB7645" w:rsidRPr="00BE00C7" w:rsidP="00BE00C7">
            <w:pPr>
              <w:pStyle w:val="OutcomeDescription"/>
              <w:spacing w:before="120" w:after="120"/>
              <w:rPr>
                <w:rFonts w:cs="Arial"/>
                <w:b w:val="0"/>
                <w:lang w:eastAsia="en-NZ"/>
              </w:rPr>
            </w:pPr>
            <w:r w:rsidRPr="00BE00C7">
              <w:rPr>
                <w:rFonts w:cs="Arial"/>
                <w:b w:val="0"/>
                <w:lang w:eastAsia="en-NZ"/>
              </w:rPr>
              <w:t>Bayview - 10 beds (9 hospital and one rest home resident)</w:t>
            </w:r>
          </w:p>
          <w:p w:rsidR="00EB7645" w:rsidRPr="00BE00C7" w:rsidP="00BE00C7">
            <w:pPr>
              <w:pStyle w:val="OutcomeDescription"/>
              <w:spacing w:before="120" w:after="120"/>
              <w:rPr>
                <w:rFonts w:cs="Arial"/>
                <w:b w:val="0"/>
                <w:lang w:eastAsia="en-NZ"/>
              </w:rPr>
            </w:pPr>
            <w:r w:rsidRPr="00BE00C7">
              <w:rPr>
                <w:rFonts w:cs="Arial"/>
                <w:b w:val="0"/>
                <w:lang w:eastAsia="en-NZ"/>
              </w:rPr>
              <w:t>•  AM shift - 2 HCA’s (one long, one short shift shared with Sandspit)</w:t>
            </w:r>
          </w:p>
          <w:p w:rsidR="00EB7645" w:rsidRPr="00BE00C7" w:rsidP="00BE00C7">
            <w:pPr>
              <w:pStyle w:val="OutcomeDescription"/>
              <w:spacing w:before="120" w:after="120"/>
              <w:rPr>
                <w:rFonts w:cs="Arial"/>
                <w:b w:val="0"/>
                <w:lang w:eastAsia="en-NZ"/>
              </w:rPr>
            </w:pPr>
            <w:r w:rsidRPr="00BE00C7">
              <w:rPr>
                <w:rFonts w:cs="Arial"/>
                <w:b w:val="0"/>
                <w:lang w:eastAsia="en-NZ"/>
              </w:rPr>
              <w:t>•  PM shift – 1 HCA (one long shift) and 1 HCA floater 3pm – 8pm between Sandspit and Riverside)</w:t>
            </w:r>
          </w:p>
          <w:p w:rsidR="00EB7645" w:rsidRPr="00BE00C7" w:rsidP="00BE00C7">
            <w:pPr>
              <w:pStyle w:val="OutcomeDescription"/>
              <w:spacing w:before="120" w:after="120"/>
              <w:rPr>
                <w:rFonts w:cs="Arial"/>
                <w:b w:val="0"/>
                <w:lang w:eastAsia="en-NZ"/>
              </w:rPr>
            </w:pPr>
            <w:r w:rsidRPr="00BE00C7">
              <w:rPr>
                <w:rFonts w:cs="Arial"/>
                <w:b w:val="0"/>
                <w:lang w:eastAsia="en-NZ"/>
              </w:rPr>
              <w:t>Sandspit – 10 beds (6 hospital residents and 4 rest home residents)</w:t>
            </w:r>
          </w:p>
          <w:p w:rsidR="00EB7645" w:rsidRPr="00BE00C7" w:rsidP="00BE00C7">
            <w:pPr>
              <w:pStyle w:val="OutcomeDescription"/>
              <w:spacing w:before="120" w:after="120"/>
              <w:rPr>
                <w:rFonts w:cs="Arial"/>
                <w:b w:val="0"/>
                <w:lang w:eastAsia="en-NZ"/>
              </w:rPr>
            </w:pPr>
            <w:r w:rsidRPr="00BE00C7">
              <w:rPr>
                <w:rFonts w:cs="Arial"/>
                <w:b w:val="0"/>
                <w:lang w:eastAsia="en-NZ"/>
              </w:rPr>
              <w:t>•  AM shift - 2 HCA’s (one long shift, one short shared with Bayview</w:t>
            </w:r>
          </w:p>
          <w:p w:rsidR="00EB7645" w:rsidRPr="00BE00C7" w:rsidP="00BE00C7">
            <w:pPr>
              <w:pStyle w:val="OutcomeDescription"/>
              <w:spacing w:before="120" w:after="120"/>
              <w:rPr>
                <w:rFonts w:cs="Arial"/>
                <w:b w:val="0"/>
                <w:lang w:eastAsia="en-NZ"/>
              </w:rPr>
            </w:pPr>
            <w:r w:rsidRPr="00BE00C7">
              <w:rPr>
                <w:rFonts w:cs="Arial"/>
                <w:b w:val="0"/>
                <w:lang w:eastAsia="en-NZ"/>
              </w:rPr>
              <w:t>•  PM shift – 1 HCA (one long shift) and 1 HCA floater 3pm – 8pm between Sandspit and Riverside)</w:t>
            </w:r>
          </w:p>
          <w:p w:rsidR="00EB7645" w:rsidRPr="00BE00C7" w:rsidP="00BE00C7">
            <w:pPr>
              <w:pStyle w:val="OutcomeDescription"/>
              <w:spacing w:before="120" w:after="120"/>
              <w:rPr>
                <w:rFonts w:cs="Arial"/>
                <w:b w:val="0"/>
                <w:lang w:eastAsia="en-NZ"/>
              </w:rPr>
            </w:pPr>
            <w:r w:rsidRPr="00BE00C7">
              <w:rPr>
                <w:rFonts w:cs="Arial"/>
                <w:b w:val="0"/>
                <w:lang w:eastAsia="en-NZ"/>
              </w:rPr>
              <w:t>Riverside- 10 beds (8 hospital residents and 2 rest home residents)</w:t>
            </w:r>
          </w:p>
          <w:p w:rsidR="00EB7645" w:rsidRPr="00BE00C7" w:rsidP="00BE00C7">
            <w:pPr>
              <w:pStyle w:val="OutcomeDescription"/>
              <w:spacing w:before="120" w:after="120"/>
              <w:rPr>
                <w:rFonts w:cs="Arial"/>
                <w:b w:val="0"/>
                <w:lang w:eastAsia="en-NZ"/>
              </w:rPr>
            </w:pPr>
            <w:r w:rsidRPr="00BE00C7">
              <w:rPr>
                <w:rFonts w:cs="Arial"/>
                <w:b w:val="0"/>
                <w:lang w:eastAsia="en-NZ"/>
              </w:rPr>
              <w:t>•  AM shift - 1 HCA’s (one long, one short shift shared with Portside)</w:t>
            </w:r>
          </w:p>
          <w:p w:rsidR="00EB7645" w:rsidRPr="00BE00C7" w:rsidP="00BE00C7">
            <w:pPr>
              <w:pStyle w:val="OutcomeDescription"/>
              <w:spacing w:before="120" w:after="120"/>
              <w:rPr>
                <w:rFonts w:cs="Arial"/>
                <w:b w:val="0"/>
                <w:lang w:eastAsia="en-NZ"/>
              </w:rPr>
            </w:pPr>
            <w:r w:rsidRPr="00BE00C7">
              <w:rPr>
                <w:rFonts w:cs="Arial"/>
                <w:b w:val="0"/>
                <w:lang w:eastAsia="en-NZ"/>
              </w:rPr>
              <w:t>•  PM shift – 1 HCA (one long shift) and 1 HCA floater 3pm – 8pm between Sandspit and Bayview</w:t>
            </w:r>
          </w:p>
          <w:p w:rsidR="00EB7645" w:rsidRPr="00BE00C7" w:rsidP="00BE00C7">
            <w:pPr>
              <w:pStyle w:val="OutcomeDescription"/>
              <w:spacing w:before="120" w:after="120"/>
              <w:rPr>
                <w:rFonts w:cs="Arial"/>
                <w:b w:val="0"/>
                <w:lang w:eastAsia="en-NZ"/>
              </w:rPr>
            </w:pPr>
            <w:r w:rsidRPr="00BE00C7">
              <w:rPr>
                <w:rFonts w:cs="Arial"/>
                <w:b w:val="0"/>
                <w:lang w:eastAsia="en-NZ"/>
              </w:rPr>
              <w:t>Portside – 11 beds (9 hospital and two rest home residents</w:t>
            </w:r>
          </w:p>
          <w:p w:rsidR="00EB7645" w:rsidRPr="00BE00C7" w:rsidP="00BE00C7">
            <w:pPr>
              <w:pStyle w:val="OutcomeDescription"/>
              <w:spacing w:before="120" w:after="120"/>
              <w:rPr>
                <w:rFonts w:cs="Arial"/>
                <w:b w:val="0"/>
                <w:lang w:eastAsia="en-NZ"/>
              </w:rPr>
            </w:pPr>
            <w:r w:rsidRPr="00BE00C7">
              <w:rPr>
                <w:rFonts w:cs="Arial"/>
                <w:b w:val="0"/>
                <w:lang w:eastAsia="en-NZ"/>
              </w:rPr>
              <w:t>•  AM shift - 1 HCA’s (one long shift, one short shared with Riverside)</w:t>
            </w:r>
          </w:p>
          <w:p w:rsidR="00EB7645" w:rsidRPr="00BE00C7" w:rsidP="00BE00C7">
            <w:pPr>
              <w:pStyle w:val="OutcomeDescription"/>
              <w:spacing w:before="120" w:after="120"/>
              <w:rPr>
                <w:rFonts w:cs="Arial"/>
                <w:b w:val="0"/>
                <w:lang w:eastAsia="en-NZ"/>
              </w:rPr>
            </w:pPr>
            <w:r w:rsidRPr="00BE00C7">
              <w:rPr>
                <w:rFonts w:cs="Arial"/>
                <w:b w:val="0"/>
                <w:lang w:eastAsia="en-NZ"/>
              </w:rPr>
              <w:t>•  PM shift – 1 HCA (one long shift and one short shift shared with Edgewater)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acuity was reported to be evenly spread throughout the facility.  Management report staffing can be flexible to cover changes in acuity.  There are experienced and long serving health care assistants who assist as able to cover for unexpected leave.   Staff state they feel supported by the management team who respond quickly to after hour calls however on interview raised concerns with staffing levels at times.  Interviews with management identified ongoing difficulty with recruitment of both HCA’s and RN’s.  Agency staff are reluctant to travel to the facility further increasing roster resource issues.  Residents and family members stated that staffing is adequate to meet the needs of residents.  The GP commented that there are insufficient staff on the floor and raised concerned with turnover and loss of experienced RN’s.  On interview, the unit manager confirmed recent discussions with head office to increase rostered shift allocations.   A roster review and increased allocation of staffing hours was confirmed on the day of audit.  Four new HCA ‘s and two new RN’s have been employed and commence over the next two weeks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 files are held both electronically and in files and are protected from unauthorised access.  Entries are computerised, dated, and include the relevant care giver or nurse including their designation.  Individual resident files demonstrated service integration. Informed consent to display photographs is obtained from residents/family/whānau on admission.  Resident files are protected from unauthorised access.  All entries in the progress notes are legible, dated and signed with the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admission policy and procedures to safely guide service provision and entry to the service.  All residents have a needs assessment completed prior to entry that identifies the level of care required.  The unit manager and clinical coordinator screen all potential enquiries to ensure the service can meet the required level of care and specific needs of the resident.  The service has an information pack available for residents/families/whānau at entry.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contain all detail required under the Aged Residential Care Agreement.  The eight admission agreements reviewed meet the requirements of the ARCC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 that they have received the information pack and have received sufficient information prior to and on entry to the service.   Family members report that the unit manager or clinical coordinator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 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One file reviewed was of a resident who had been transferred to hospital acutely for an infection.  All appropriate documentation and communication had been completed.  Transfer to the hospital and back to the facility post-discharge, was documented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was one resident self-medicating on the day of audit, who had been assessed as competent to self-administer by the RN and GP.  The resident’s room was visited and confirmation that the medications were stored securely was obtained.  All legal requirements had been met.  There are no standing orders in use.  There are no vaccines stored on-site.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and robotic pack system.  Medications are checked on arrival and any pharmacy errors recorded and fed back to the supplying pharmacy.  RNs and senior medication competent healthcare assistants administer medications.  Staff have up to date medication competencies and there has been medication education in the last year.  Registered nurses have syringe driver training completed by the hospice.  The medication fridge and room temperatures are checked daily and were within expected ranges.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Sixteen medication charts were reviewed.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are outsourced to a contractor. The chef oversees the procurement of the food and management of the kitchen. The chef is supported by a second chef, cooks and kitchen assistants. All staff have been trained in food safety and chemical safety. All meals are cooked on site and served in the main dining room adjacent to the kitchen with hotboxes utilised for tray service as required. The kitchen was observed to be clean and well organised, and a current approved food control plan was in evidence, expiring January 2022. Special equipment such as lipped plates is available. On the day of audit, meals were observed to be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 manual and a range of policies and procedures to safely manage the kitchen and meal services.  Audits are implemented to monitor performance.  Kitchen fridge and freezer temperatures are monitored and recorded daily using an electronic management system.  Food temperatures are checked at all meals.  These are all within safe limits.  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are noted on a kitchen whiteboard, and colour coded to aid staff in dietary requirement recognition.  The four-weekly seasonal menu cycle is written and approved by an external dietitian.  All resident/families interviewed are happy with the meals.  Additional snacks are available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family/whanau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InterRAI assessments had been completed for all long-term residents’ files reviewed (excluding ACC and POAC).  </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identify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including restraint, are appropriately completed according to need.  For the resident files reviewed, the outcomes from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 centred.  Interventions documented support needs and provide detail to guide care.  Residents and relatives interviewed stated that they were involved in the care planning process.  There was evidence of service integration with documented input from a range of specialist care professionals, including the podiatrist, wound care specialist and mental health care team for older people.  The care staff interviewed advised that the care plans were easy to follow.  Integration of records and monitoring documents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stated that they notify family members about any changes in their relative’s health status.  Care plans have been updated as residents’ needs changed.  The general practitioner interviewed was complimentary of the service and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in place for all wounds.  Wound monitoring occurred as planned and there are also photos to show wound progress which are updated at least two-weekly.  Wounds included five chronic wounds, six skin tears, one surgical wound and one dermatitis.   There was also one grade 1 pressure injury (facility acquired).  There was documented evidence of wound nurse specialist involvement in chronic wound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All monitoring requirements including neurological observations had been documented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four part-time activity coordinators covering Monday to Saturday between them who plan and lead all activities.  The service is currently recruiting for an additional activities coordinator so it can offer a seven day per week activities programme.   Residents were observed participating in planned activities during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Residents have the choice of a variety of activities which are varied according to resident preference and need.  These include (but are not limited to) exercises, walks outside, crafts, games, quizzes, entertainers, men’s group, pet therapy, knitting group, gardening group and bingo.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have one-on-one visits to check if there is anything they need, have a chat and are offered individual activities including pampering sessions.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fortnightly outings, and the service utilises a contracted wheelchair accessible minibus and volunteer community transport as needed.  There are regular entertainers visiting the facility.  Special events like birthdays, Easter, Mothers’ Day and Anzac Day are celebrated, in addition to their being a monthly theme set by CHT head office.  Examples of this include an Olympic, or Indian theme, with associated posters, decorations and resources being supplied by head office.  There are visiting community groups such as cultural dance groups, churches and children’s groups, and also one-off events such as a mouth painting demonstration by a local artist.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very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of the eight resident care plans reviewed had been evaluated by the registered nurses six-monthly or earlier if there was a change in health status.  This number excluded the short-term POAC resident and a recent admission to the rest home. There is evidence of resident and family involvement in the review of long-term resident care plans against resident goals.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plans are in place for each of the residents and these are also evaluated six-monthly.  There are three-monthly reviews by the GP for all residents which family are able to attend if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registered nurses interviewed gave examples of where a resident’s condition had changed, and the resident had been reassessed for a higher or different level of care.  Discussion with the unit coordinator and registered nurses identifies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building warrant of fitness which expires September 2021.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Hot water temperatures have been monitored in resident areas and are within the acceptable range.  Flooring is safe and appropriate for residential care.  All corridors have safety rails and promote safe mobility with the use of mobility aids.  Residents were observed moving freely around the areas with mobility aids where required.  The external areas and paved areas are well maintained.  All external areas have attractive features, included views of the nearby estuary and are easily accessible to residents.  All outdoor areas have some seating and shade.  There is safe access to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mixture of rooms with ensuites, and those using communal facilities.  There are sufficient communal toilets and showers.  Handrails are appropriately placed in ensuite bathrooms and communal showers and toilets.  There is ample space in toilet and shower areas to accommodate shower chairs and a hoist if appropriate.  Privacy is assured with the use of ensuites.  Communal toilet/shower/bathing facilities have a system that indicates if it is engaged or vacant.  Fixtures, fittings, floorings and wall coverings are good condition and are made from materials which allow for ease of cleaning.  Hot water temperatures are monitored monthly and are within safe range as per current guidelines and legislation.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single.  There is sufficient space to allow care to be provided and for the safe use of mobility equipment.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including the main lounge and dining rooms in the Harbour wing and smaller combined lounge/dining areas in the Riverside and Bayview areas.  Activities occur in all areas, with residents being assisted to activities in different areas if they require it.  There are sufficient lounges and private/quiet seating areas where residents who prefer quieter activities or visitors may sit.  The dining areas are spacious, inviting and appropriate for the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outsourced.  There is a separate ‘dirty’ area for linen/clothing awaiting collection and a ‘clean’ area for deliveries. There is a cleaning manual available.  Cleaning and laundry services are monitored through the internal auditing system.  The cleaners’ equipment was attended at all times or locked away in the cleaners’ cupboard.  All chemicals on the cleaner’s trolley were labelled.  Sluice rooms were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The facility keeps more than the 3 litres per resident per day of emergency water for resident use on site.  The service has its own generator on site in case of power outage.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scheme in place and six-monthly fire drills have been completed.  A resident building register is maintained.  Fire safety is completed with new staff as part of the health and safety induction and is ongoing.  All shifts have a current first aider on duty.  </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Call bells and sensor mats when activated show on a display panel and also give an audible alert.  Security policies and procedures are documented and implemented by staff.  The buildings are secure at night.  There is security lighting.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thermostatically controlled.  Staff and residents interviewed, stated that this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resource nurse is an RN who is responsible for infection control across the facility as detailed in the resource nurse job description (signed copy sighted on day of audit).  The resource nurse oversees infection control for the facility, reviews incidents on the electronic resident management system and is responsible for the collation of monthly infection events and reports. CHT head office are responsible for the development of, and annual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The majority of residents and staff have received both doses of the Pfizer Covid-19 vaccine (one long-term resident declined).  Residents and staff are offered the influenza vaccine.  There has been one outbreak (scabies) since the last audit, which was managed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donning/doffing and use of PPE.  During Covid lockdown staff were not allowed to travel to and from the facility in uniform.  A changing area was provided, and all uniforms were laundered on site.  Although this is no longer mandatory, staff are strongly encouraged to continue this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CHT Waiuku.  The resource nurse liaises with the infection control committee who meet regularly and as required (more frequently during Covid lockdown).  Information is shared as part of staff meetings and also as part of the registered nurse meetings.  The resource nurse has completed annual training in infection control.  External resources and support are available through the CHT area manager, external specialists, microbiologist, GP, wound nurse and DHB when required.  The GP monitors the use of antibiotics.  Overall effectiveness of the programme is monitored by CHT head office and subject to a monthly review meeting with the area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a CHT infection control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on infection control is included in orientation and as part of the annual training schedule.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 as appropriate.</w:t>
            </w:r>
          </w:p>
          <w:p w:rsidR="00EB7645" w:rsidRPr="00BE00C7" w:rsidP="00BE00C7">
            <w:pPr>
              <w:pStyle w:val="OutcomeDescription"/>
              <w:spacing w:before="120" w:after="120"/>
              <w:rPr>
                <w:rFonts w:cs="Arial"/>
                <w:b w:val="0"/>
                <w:lang w:eastAsia="en-NZ"/>
              </w:rPr>
            </w:pPr>
            <w:r w:rsidRPr="00BE00C7">
              <w:rPr>
                <w:rFonts w:cs="Arial"/>
                <w:b w:val="0"/>
                <w:lang w:eastAsia="en-NZ"/>
              </w:rPr>
              <w:t>The resource nurse is responsible for coordinating education and ensuring staff complete the online training available on the Altura online education system.  Training on infection control is included in the orientation programme.  Staff have completed online infection control study in the last 12 months.  The resource nurse has also completed infection control audits.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an integral part of the infection control programme, and the purpose and methodology are described in the CHT surveillance policy.  The infection control resource nurse uses the information obtained through surveillance to determine infection control activities, resources and education needs within the facility.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infection data is collected for all infections based on standard definitions as described in the surveillance policy.  Infection control data is monitored and evaluated monthly and annually.  Trends are identified and analysed, and preventative measures put in place.  These, along with outcomes and actions are discussed at the quality/health and safety and infection control meetings.  Meeting minutes are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entered into the electronic database (Vcare) for benchmarking.  Corrective actions are established where trends are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include definition of restraint and enabler that Restraint practices are only used where it is clinically indicated, and other de-escalation strategies have been ineffective.  Restraint minimisation policies and procedures are congruent with the definition in NZS 8134.0, are comprehensive and include processes and use of restraints and enablers.  Restraint is a standard agenda item on clinical and clinical meetings.  The restraint coordinator is an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two residents with restraints in use (lap belts) and one resident using bed rails as an enabler. The resident file was reviewed for enabler use and identified the resident had given voluntary consent.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on RMSP/enablers has been provided.  Staff interviews and staff records evidence guidance has been given on restraint minimisation and safe practice (RMSP), enabler usage and prevention and/or de-escalation techniques.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restraint coordinator with a defined job description. Restraint discussion and quality data around restraint and enabler use is included in the quality/risk meetings and clinical meetings.  Care staff receive education on safe restraint use at orientation and annually.  There is ongoing education including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The RN in partnership with the restraint coordinator, the resident and their family/whānau undertakes assessments.  Ongoing consultation with the resident and family/whānau are evident.  A restraint assessment form had been completed for two resident files reviewed requiring restraint (sighted).  Assessments identify risks related to the use of restraint and the specific interventions or strategies to try (as appropriate) before implementing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Monitoring and observation is included in the restraint policy.  The restraint coordinator is responsible for ensuring all restraint documentation is completed.  Each episode of restraint is monitored at pre-determined intervals, depending on individual risk to that resident.  </w:t>
            </w:r>
          </w:p>
          <w:p w:rsidR="00EB7645" w:rsidRPr="00BE00C7" w:rsidP="00BE00C7">
            <w:pPr>
              <w:pStyle w:val="OutcomeDescription"/>
              <w:spacing w:before="120" w:after="120"/>
              <w:rPr>
                <w:rFonts w:cs="Arial"/>
                <w:b w:val="0"/>
                <w:lang w:eastAsia="en-NZ"/>
              </w:rPr>
            </w:pPr>
            <w:r w:rsidRPr="00BE00C7">
              <w:rPr>
                <w:rFonts w:cs="Arial"/>
                <w:b w:val="0"/>
                <w:lang w:eastAsia="en-NZ"/>
              </w:rPr>
              <w:t>Restraint use is recorded in the care plan; with risks and cares to be carried out during the restraint episode documented.  Individual restraint monitoring forms evidence that checks and cares have been carried out according to the documented frequency described in the monitoring tool.  There is an up-to-date restraint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evaluations occur six-monthly as part of the ongoing review for residents on the restraint register, and as part of their care plan review.  Families (where possible) and the GP and RNs are included as part of this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usage is monitored regularly.  The review of restraint use is discussed at the quality risk meetings and relevant facility meetings.  The facility is proactive in minimising restraint with evidence of continued reduction over the last year.  Internal restraint audits are completed six monthly and demonstrate compliance of the standard.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Waiuku Hospital and Rest Home</w:t>
    </w:r>
    <w:bookmarkEnd w:id="58"/>
    <w:r>
      <w:rPr>
        <w:rFonts w:cs="Arial"/>
        <w:sz w:val="16"/>
        <w:szCs w:val="20"/>
      </w:rPr>
      <w:tab/>
      <w:t xml:space="preserve">Date of Audit: </w:t>
    </w:r>
    <w:bookmarkStart w:id="59" w:name="AuditStartDate1"/>
    <w:r>
      <w:rPr>
        <w:rFonts w:cs="Arial"/>
        <w:sz w:val="16"/>
        <w:szCs w:val="20"/>
      </w:rPr>
      <w:t>22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