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ADE5" w14:textId="77777777" w:rsidR="00460D43" w:rsidRDefault="00F36CE5">
      <w:pPr>
        <w:pStyle w:val="Heading1"/>
        <w:rPr>
          <w:rFonts w:cs="Arial"/>
        </w:rPr>
      </w:pPr>
      <w:bookmarkStart w:id="0" w:name="PRMS_RIName"/>
      <w:r>
        <w:rPr>
          <w:rFonts w:cs="Arial"/>
        </w:rPr>
        <w:t>Whanganui District Health Board - Whanganui Hospital</w:t>
      </w:r>
      <w:bookmarkEnd w:id="0"/>
    </w:p>
    <w:p w14:paraId="451DD4AD" w14:textId="77777777" w:rsidR="00460D43" w:rsidRDefault="00F36CE5">
      <w:pPr>
        <w:pStyle w:val="Heading2"/>
        <w:spacing w:after="0"/>
        <w:rPr>
          <w:rFonts w:cs="Arial"/>
        </w:rPr>
      </w:pPr>
      <w:r>
        <w:rPr>
          <w:rFonts w:cs="Arial"/>
        </w:rPr>
        <w:t>Introduction</w:t>
      </w:r>
    </w:p>
    <w:p w14:paraId="2474CA50" w14:textId="77777777" w:rsidR="00460D43" w:rsidRDefault="00F36CE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2F823442" w14:textId="77777777" w:rsidR="00460D43" w:rsidRDefault="00F36CE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311B8F9C" w14:textId="77777777" w:rsidR="00460D43" w:rsidRDefault="00F36CE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9612007" w14:textId="77777777" w:rsidR="00460D43" w:rsidRDefault="00F36CE5"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6E16638A" w14:textId="77777777" w:rsidR="00460D43" w:rsidRDefault="00F36CE5">
      <w:pPr>
        <w:spacing w:before="240" w:after="240"/>
        <w:rPr>
          <w:rFonts w:cs="Arial"/>
          <w:lang w:eastAsia="en-NZ"/>
        </w:rPr>
      </w:pPr>
      <w:r>
        <w:rPr>
          <w:rFonts w:cs="Arial"/>
          <w:lang w:eastAsia="en-NZ"/>
        </w:rPr>
        <w:t>The specifics of this audit included:</w:t>
      </w:r>
    </w:p>
    <w:p w14:paraId="6BF58B68" w14:textId="77777777" w:rsidR="009D18F5" w:rsidRPr="009D18F5" w:rsidRDefault="00F36CE5" w:rsidP="009D18F5">
      <w:pPr>
        <w:pBdr>
          <w:top w:val="single" w:sz="4" w:space="1" w:color="auto"/>
          <w:left w:val="single" w:sz="4" w:space="4" w:color="auto"/>
          <w:bottom w:val="single" w:sz="4" w:space="1" w:color="auto"/>
          <w:right w:val="single" w:sz="4" w:space="4" w:color="auto"/>
        </w:pBdr>
        <w:rPr>
          <w:rFonts w:cs="Arial"/>
        </w:rPr>
      </w:pPr>
    </w:p>
    <w:p w14:paraId="45F212BC" w14:textId="77777777" w:rsidR="005A5115" w:rsidRPr="009418D4" w:rsidRDefault="00F36CE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Whanganui District Health Board</w:t>
      </w:r>
      <w:bookmarkEnd w:id="4"/>
    </w:p>
    <w:p w14:paraId="72C59D2C" w14:textId="77777777" w:rsidR="005A5115" w:rsidRPr="009418D4" w:rsidRDefault="00F36C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Whanganui Hospital</w:t>
      </w:r>
      <w:bookmarkEnd w:id="5"/>
    </w:p>
    <w:p w14:paraId="222B89E3" w14:textId="77777777" w:rsidR="005A5115" w:rsidRPr="009418D4" w:rsidRDefault="00F36C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Geriatric services (excl. </w:t>
      </w:r>
      <w:r>
        <w:rPr>
          <w:rFonts w:cs="Arial"/>
        </w:rPr>
        <w:t>psychogeriatric); Hospital services - Children's health services; Hospital services - Surgical services; Hospital services - Maternity services</w:t>
      </w:r>
      <w:bookmarkEnd w:id="6"/>
    </w:p>
    <w:p w14:paraId="7B558854" w14:textId="77777777" w:rsidR="005A5115" w:rsidRPr="009418D4" w:rsidRDefault="00F36C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July 2021</w:t>
      </w:r>
      <w:bookmarkEnd w:id="7"/>
      <w:r w:rsidRPr="009418D4">
        <w:rPr>
          <w:rFonts w:cs="Arial"/>
        </w:rPr>
        <w:tab/>
        <w:t xml:space="preserve">End date: </w:t>
      </w:r>
      <w:bookmarkStart w:id="8" w:name="AuditEndDate"/>
      <w:r>
        <w:rPr>
          <w:rFonts w:cs="Arial"/>
        </w:rPr>
        <w:t>8 July 2021</w:t>
      </w:r>
      <w:bookmarkEnd w:id="8"/>
    </w:p>
    <w:p w14:paraId="1B5BE791" w14:textId="77777777" w:rsidR="005A5115" w:rsidRPr="009418D4" w:rsidRDefault="00F36C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w:t>
      </w:r>
      <w:r w:rsidRPr="009418D4">
        <w:rPr>
          <w:rFonts w:cs="Arial"/>
        </w:rPr>
        <w:t>e</w:t>
      </w:r>
    </w:p>
    <w:bookmarkEnd w:id="9"/>
    <w:p w14:paraId="446D52DE" w14:textId="41D9BFBA" w:rsidR="009D18F5" w:rsidRDefault="00F36CE5" w:rsidP="00F36CE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118</w:t>
      </w:r>
      <w:bookmarkEnd w:id="10"/>
    </w:p>
    <w:p w14:paraId="3110FA52" w14:textId="77777777" w:rsidR="00460D43" w:rsidRDefault="00F36CE5">
      <w:pPr>
        <w:pStyle w:val="Heading1"/>
        <w:rPr>
          <w:rFonts w:cs="Arial"/>
        </w:rPr>
      </w:pPr>
      <w:r>
        <w:rPr>
          <w:rFonts w:cs="Arial"/>
        </w:rPr>
        <w:lastRenderedPageBreak/>
        <w:t>Executive summary of the audit</w:t>
      </w:r>
    </w:p>
    <w:p w14:paraId="735FF64D" w14:textId="77777777" w:rsidR="00460D43" w:rsidRDefault="00F36CE5">
      <w:pPr>
        <w:pStyle w:val="Heading2"/>
        <w:rPr>
          <w:rFonts w:cs="Arial"/>
        </w:rPr>
      </w:pPr>
      <w:r>
        <w:rPr>
          <w:rFonts w:cs="Arial"/>
        </w:rPr>
        <w:t>Introduction</w:t>
      </w:r>
    </w:p>
    <w:p w14:paraId="4378D1FF" w14:textId="77777777" w:rsidR="00460D43" w:rsidRDefault="00F36CE5">
      <w:pPr>
        <w:spacing w:before="240" w:after="240"/>
        <w:rPr>
          <w:rFonts w:cs="Arial"/>
          <w:lang w:eastAsia="en-NZ"/>
        </w:rPr>
      </w:pPr>
      <w:r>
        <w:rPr>
          <w:rFonts w:cs="Arial"/>
          <w:lang w:eastAsia="en-NZ"/>
        </w:rPr>
        <w:t>This section contains a summary of the auditors’ findings for this audit.  The information is grouped into the s</w:t>
      </w:r>
      <w:r>
        <w:rPr>
          <w:rFonts w:cs="Arial"/>
          <w:lang w:eastAsia="en-NZ"/>
        </w:rPr>
        <w:t>ix outcome areas contained within the Health and Disability Services Standards:</w:t>
      </w:r>
    </w:p>
    <w:p w14:paraId="0D1CFE61" w14:textId="77777777" w:rsidR="00460D43" w:rsidRDefault="00F36CE5">
      <w:pPr>
        <w:pStyle w:val="ListParagraph"/>
        <w:numPr>
          <w:ilvl w:val="0"/>
          <w:numId w:val="1"/>
        </w:numPr>
        <w:spacing w:before="240" w:after="240"/>
        <w:rPr>
          <w:rFonts w:cs="Arial"/>
          <w:lang w:eastAsia="en-NZ"/>
        </w:rPr>
      </w:pPr>
      <w:r>
        <w:rPr>
          <w:rFonts w:cs="Arial"/>
          <w:lang w:eastAsia="en-NZ"/>
        </w:rPr>
        <w:t>consumer rights</w:t>
      </w:r>
    </w:p>
    <w:p w14:paraId="2C578171" w14:textId="77777777" w:rsidR="00460D43" w:rsidRDefault="00F36CE5">
      <w:pPr>
        <w:pStyle w:val="ListParagraph"/>
        <w:numPr>
          <w:ilvl w:val="0"/>
          <w:numId w:val="1"/>
        </w:numPr>
        <w:spacing w:before="240" w:after="240"/>
        <w:rPr>
          <w:rFonts w:cs="Arial"/>
          <w:lang w:eastAsia="en-NZ"/>
        </w:rPr>
      </w:pPr>
      <w:r>
        <w:rPr>
          <w:rFonts w:cs="Arial"/>
          <w:lang w:eastAsia="en-NZ"/>
        </w:rPr>
        <w:t>organisational management</w:t>
      </w:r>
    </w:p>
    <w:p w14:paraId="340D9A5A" w14:textId="77777777" w:rsidR="00460D43" w:rsidRDefault="00F36CE5">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8E7416B" w14:textId="77777777" w:rsidR="00460D43" w:rsidRDefault="00F36CE5">
      <w:pPr>
        <w:pStyle w:val="ListParagraph"/>
        <w:numPr>
          <w:ilvl w:val="0"/>
          <w:numId w:val="1"/>
        </w:numPr>
        <w:spacing w:before="240" w:after="240"/>
        <w:rPr>
          <w:rFonts w:cs="Arial"/>
          <w:lang w:eastAsia="en-NZ"/>
        </w:rPr>
      </w:pPr>
      <w:r>
        <w:rPr>
          <w:rFonts w:cs="Arial"/>
          <w:lang w:eastAsia="en-NZ"/>
        </w:rPr>
        <w:t>safe and appropriate environment</w:t>
      </w:r>
    </w:p>
    <w:p w14:paraId="2AC56DBB" w14:textId="77777777" w:rsidR="00460D43" w:rsidRDefault="00F36CE5">
      <w:pPr>
        <w:pStyle w:val="ListParagraph"/>
        <w:numPr>
          <w:ilvl w:val="0"/>
          <w:numId w:val="1"/>
        </w:numPr>
        <w:spacing w:before="240" w:after="240"/>
        <w:rPr>
          <w:rFonts w:cs="Arial"/>
          <w:lang w:eastAsia="en-NZ"/>
        </w:rPr>
      </w:pPr>
      <w:r>
        <w:rPr>
          <w:rFonts w:cs="Arial"/>
          <w:lang w:eastAsia="en-NZ"/>
        </w:rPr>
        <w:t xml:space="preserve">restraint minimisation and safe </w:t>
      </w:r>
      <w:r>
        <w:rPr>
          <w:rFonts w:cs="Arial"/>
          <w:lang w:eastAsia="en-NZ"/>
        </w:rPr>
        <w:t>practice</w:t>
      </w:r>
    </w:p>
    <w:p w14:paraId="730F59D3" w14:textId="77777777" w:rsidR="00460D43" w:rsidRDefault="00F36CE5">
      <w:pPr>
        <w:pStyle w:val="ListParagraph"/>
        <w:numPr>
          <w:ilvl w:val="0"/>
          <w:numId w:val="1"/>
        </w:numPr>
        <w:spacing w:before="240" w:after="240"/>
        <w:rPr>
          <w:rFonts w:cs="Arial"/>
          <w:lang w:eastAsia="en-NZ"/>
        </w:rPr>
      </w:pPr>
      <w:r>
        <w:rPr>
          <w:rFonts w:cs="Arial"/>
          <w:lang w:eastAsia="en-NZ"/>
        </w:rPr>
        <w:t>infection prevention and control.</w:t>
      </w:r>
    </w:p>
    <w:p w14:paraId="16F6F94E" w14:textId="77777777" w:rsidR="00460D43" w:rsidRDefault="00F36CE5">
      <w:pPr>
        <w:pStyle w:val="Heading2"/>
        <w:spacing w:after="0"/>
        <w:rPr>
          <w:rFonts w:cs="Arial"/>
        </w:rPr>
      </w:pPr>
      <w:r>
        <w:rPr>
          <w:rFonts w:cs="Arial"/>
        </w:rPr>
        <w:t>General overview of the audit</w:t>
      </w:r>
    </w:p>
    <w:p w14:paraId="1BC6F2D0" w14:textId="77777777" w:rsidR="00E536CC" w:rsidRDefault="00F36CE5">
      <w:pPr>
        <w:spacing w:before="240" w:line="276" w:lineRule="auto"/>
        <w:rPr>
          <w:rFonts w:eastAsia="Calibri"/>
        </w:rPr>
      </w:pPr>
      <w:bookmarkStart w:id="11" w:name="GeneralOverview"/>
      <w:r w:rsidRPr="00A4268A">
        <w:rPr>
          <w:rFonts w:eastAsia="Calibri"/>
        </w:rPr>
        <w:t>Whanganui District health Board (WDHB) provides services to around 69,000 residents living in the region. Hospital services are provided from the 176 bed hospital based in Whanganui. Services reviewed included medical, surgical, maternity, paediatrics, the</w:t>
      </w:r>
      <w:r w:rsidRPr="00A4268A">
        <w:rPr>
          <w:rFonts w:eastAsia="Calibri"/>
        </w:rPr>
        <w:t xml:space="preserve"> acute mental health and addiction service and the forensic rehabilitation service. These services are supported by a range of diagnostic, support and community-based services. </w:t>
      </w:r>
    </w:p>
    <w:p w14:paraId="3A5DE85C" w14:textId="77777777" w:rsidR="009552B6" w:rsidRPr="00A4268A" w:rsidRDefault="00F36CE5">
      <w:pPr>
        <w:spacing w:before="240" w:line="276" w:lineRule="auto"/>
        <w:rPr>
          <w:rFonts w:eastAsia="Calibri"/>
        </w:rPr>
      </w:pPr>
      <w:r w:rsidRPr="00A4268A">
        <w:rPr>
          <w:rFonts w:eastAsia="Calibri"/>
        </w:rPr>
        <w:t xml:space="preserve">This three-day surveillance audit, against the Health and Disability Services </w:t>
      </w:r>
      <w:r w:rsidRPr="00A4268A">
        <w:rPr>
          <w:rFonts w:eastAsia="Calibri"/>
        </w:rPr>
        <w:t>Standards, included a review of quality and risk management systems, staffing requirements, aspects of clinical care, infection prevention and control, and restraint minimisation and safe practice. Review of clinical records and other documentation, interv</w:t>
      </w:r>
      <w:r w:rsidRPr="00A4268A">
        <w:rPr>
          <w:rFonts w:eastAsia="Calibri"/>
        </w:rPr>
        <w:t xml:space="preserve">iews with patients and their families and staff across a range of roles and departments were completed and observations made.  </w:t>
      </w:r>
    </w:p>
    <w:p w14:paraId="3FA7E03F" w14:textId="77777777" w:rsidR="009552B6" w:rsidRPr="00A4268A" w:rsidRDefault="00F36CE5">
      <w:pPr>
        <w:spacing w:before="240" w:line="276" w:lineRule="auto"/>
        <w:rPr>
          <w:rFonts w:eastAsia="Calibri"/>
        </w:rPr>
      </w:pPr>
      <w:r w:rsidRPr="00A4268A">
        <w:rPr>
          <w:rFonts w:eastAsia="Calibri"/>
        </w:rPr>
        <w:t>This audit identified that improvements are required in relation to the document control system, reporting of adverse events, cl</w:t>
      </w:r>
      <w:r w:rsidRPr="00A4268A">
        <w:rPr>
          <w:rFonts w:eastAsia="Calibri"/>
        </w:rPr>
        <w:t xml:space="preserve">inical evaluations, testing of bio-medical equipment, the telephone system and the theatre instrument tracking system. </w:t>
      </w:r>
    </w:p>
    <w:p w14:paraId="2652AE06" w14:textId="77777777" w:rsidR="009552B6" w:rsidRPr="00A4268A" w:rsidRDefault="00F36CE5">
      <w:pPr>
        <w:spacing w:before="240" w:line="276" w:lineRule="auto"/>
        <w:rPr>
          <w:rFonts w:eastAsia="Calibri"/>
        </w:rPr>
      </w:pPr>
      <w:r w:rsidRPr="00A4268A">
        <w:rPr>
          <w:rFonts w:eastAsia="Calibri"/>
        </w:rPr>
        <w:lastRenderedPageBreak/>
        <w:t>Nine of the previous areas identified for improvement have been addressed and are closed. Work has progressed in the four areas that rem</w:t>
      </w:r>
      <w:r w:rsidRPr="00A4268A">
        <w:rPr>
          <w:rFonts w:eastAsia="Calibri"/>
        </w:rPr>
        <w:t xml:space="preserve">ain open. </w:t>
      </w:r>
    </w:p>
    <w:bookmarkEnd w:id="11"/>
    <w:p w14:paraId="4CEAED8D" w14:textId="77777777" w:rsidR="009552B6" w:rsidRPr="00A4268A" w:rsidRDefault="009552B6">
      <w:pPr>
        <w:spacing w:before="240" w:line="276" w:lineRule="auto"/>
        <w:rPr>
          <w:rFonts w:eastAsia="Calibri"/>
        </w:rPr>
      </w:pPr>
    </w:p>
    <w:p w14:paraId="6BA81E1A" w14:textId="77777777" w:rsidR="00460D43" w:rsidRDefault="00F36CE5" w:rsidP="000E6E02">
      <w:pPr>
        <w:pStyle w:val="Heading2"/>
        <w:spacing w:before="0"/>
        <w:rPr>
          <w:rFonts w:cs="Arial"/>
        </w:rPr>
      </w:pPr>
      <w:r>
        <w:rPr>
          <w:rFonts w:cs="Arial"/>
        </w:rPr>
        <w:t>Consumer rights</w:t>
      </w:r>
    </w:p>
    <w:p w14:paraId="0F1F0D06" w14:textId="77777777" w:rsidR="00460D43" w:rsidRDefault="00F36CE5">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was visible around all areas of the hospital. Patients and families/whānau reported an awareness of the Code and that their rights were upheld. </w:t>
      </w:r>
    </w:p>
    <w:p w14:paraId="3543664A" w14:textId="77777777" w:rsidR="009552B6" w:rsidRPr="00A4268A" w:rsidRDefault="00F36CE5">
      <w:pPr>
        <w:spacing w:before="240" w:line="276" w:lineRule="auto"/>
        <w:rPr>
          <w:rFonts w:eastAsia="Calibri"/>
        </w:rPr>
      </w:pPr>
      <w:r w:rsidRPr="00A4268A">
        <w:rPr>
          <w:rFonts w:eastAsia="Calibri"/>
        </w:rPr>
        <w:t>There are sound processes in place for the management of consent for surgical procedures, anaesthetic, return of body parts and other procedures which may pose a risk, such as administration of blood.  These were known to staff and evident from documentati</w:t>
      </w:r>
      <w:r w:rsidRPr="00A4268A">
        <w:rPr>
          <w:rFonts w:eastAsia="Calibri"/>
        </w:rPr>
        <w:t>on reviewed.  Patients and whānau reported they had sufficient information to make informed choices.  Shared Goals of Care plans are being implemented in line with the Health Quality and Safety Commission initiative.</w:t>
      </w:r>
    </w:p>
    <w:p w14:paraId="75B7E6D1" w14:textId="77777777" w:rsidR="009552B6" w:rsidRPr="00A4268A" w:rsidRDefault="00F36CE5">
      <w:pPr>
        <w:spacing w:before="240" w:line="276" w:lineRule="auto"/>
        <w:rPr>
          <w:rFonts w:eastAsia="Calibri"/>
        </w:rPr>
      </w:pPr>
      <w:r w:rsidRPr="00A4268A">
        <w:rPr>
          <w:rFonts w:eastAsia="Calibri"/>
        </w:rPr>
        <w:t>There is a documented complaints manage</w:t>
      </w:r>
      <w:r w:rsidRPr="00A4268A">
        <w:rPr>
          <w:rFonts w:eastAsia="Calibri"/>
        </w:rPr>
        <w:t>ment system, which meets the requirements of the Code.</w:t>
      </w:r>
    </w:p>
    <w:bookmarkEnd w:id="12"/>
    <w:p w14:paraId="2B1EDA23" w14:textId="77777777" w:rsidR="009552B6" w:rsidRPr="00A4268A" w:rsidRDefault="009552B6">
      <w:pPr>
        <w:spacing w:before="240" w:line="276" w:lineRule="auto"/>
        <w:rPr>
          <w:rFonts w:eastAsia="Calibri"/>
        </w:rPr>
      </w:pPr>
    </w:p>
    <w:p w14:paraId="59A32E14" w14:textId="77777777" w:rsidR="00460D43" w:rsidRDefault="00F36CE5" w:rsidP="000E6E02">
      <w:pPr>
        <w:pStyle w:val="Heading2"/>
        <w:spacing w:before="0"/>
        <w:rPr>
          <w:rFonts w:cs="Arial"/>
        </w:rPr>
      </w:pPr>
      <w:r>
        <w:rPr>
          <w:rFonts w:cs="Arial"/>
        </w:rPr>
        <w:t>Organisational management</w:t>
      </w:r>
    </w:p>
    <w:p w14:paraId="0700F206" w14:textId="77777777" w:rsidR="00460D43" w:rsidRDefault="00F36CE5">
      <w:pPr>
        <w:spacing w:before="240" w:line="276" w:lineRule="auto"/>
        <w:rPr>
          <w:rFonts w:eastAsia="Calibri"/>
        </w:rPr>
      </w:pPr>
      <w:bookmarkStart w:id="13" w:name="OrganisationalManagement"/>
      <w:r w:rsidRPr="00A4268A">
        <w:rPr>
          <w:rFonts w:eastAsia="Calibri"/>
        </w:rPr>
        <w:t>The chief executive officer (CEO) has been in the role for around three and a half years and is supported by an executive leadership team. The team described a range of developments since the previous audit, with a strong integrated model between the hospi</w:t>
      </w:r>
      <w:r w:rsidRPr="00A4268A">
        <w:rPr>
          <w:rFonts w:eastAsia="Calibri"/>
        </w:rPr>
        <w:t>tal, community, primary care services and iwi. Evidence of a positive focus on reducing inequities for Māori was apparent at all levels within the services and is guided by a ‘user friendly’ He Hāpori Ora Thriving Communities Strategic Plan 2020-2023. Othe</w:t>
      </w:r>
      <w:r w:rsidRPr="00A4268A">
        <w:rPr>
          <w:rFonts w:eastAsia="Calibri"/>
        </w:rPr>
        <w:t xml:space="preserve">r positive developments include the increase in consumer involvement, improved availability and use of data to drive decision making and the positive integrated Covid-19 response.  </w:t>
      </w:r>
    </w:p>
    <w:p w14:paraId="4A51756B" w14:textId="77777777" w:rsidR="009552B6" w:rsidRPr="00A4268A" w:rsidRDefault="00F36CE5">
      <w:pPr>
        <w:spacing w:before="240" w:line="276" w:lineRule="auto"/>
        <w:rPr>
          <w:rFonts w:eastAsia="Calibri"/>
        </w:rPr>
      </w:pPr>
      <w:r w:rsidRPr="00A4268A">
        <w:rPr>
          <w:rFonts w:eastAsia="Calibri"/>
        </w:rPr>
        <w:t xml:space="preserve">The quality and risk management system remains effective, despite several </w:t>
      </w:r>
      <w:r w:rsidRPr="00A4268A">
        <w:rPr>
          <w:rFonts w:eastAsia="Calibri"/>
        </w:rPr>
        <w:t xml:space="preserve">team secondments and changes due to Covid-19 and other demands. The patient safety and quality operational roles continue to support developments and projects across the organisation and within the services.  Improvement activity was evident at all levels </w:t>
      </w:r>
      <w:r w:rsidRPr="00A4268A">
        <w:rPr>
          <w:rFonts w:eastAsia="Calibri"/>
        </w:rPr>
        <w:t xml:space="preserve">of the organisation, from large projects across </w:t>
      </w:r>
      <w:r w:rsidRPr="00A4268A">
        <w:rPr>
          <w:rFonts w:eastAsia="Calibri"/>
        </w:rPr>
        <w:lastRenderedPageBreak/>
        <w:t>the continuum of care, to smaller ward-based initiatives.  Risks are reported to the finance, risk and audit committee and the board with a significant amount of work progressed since the previous audit aroun</w:t>
      </w:r>
      <w:r w:rsidRPr="00A4268A">
        <w:rPr>
          <w:rFonts w:eastAsia="Calibri"/>
        </w:rPr>
        <w:t xml:space="preserve">d risk management as part of the transition to a new electronic system. </w:t>
      </w:r>
    </w:p>
    <w:p w14:paraId="32126E47" w14:textId="77777777" w:rsidR="009552B6" w:rsidRPr="00A4268A" w:rsidRDefault="00F36CE5">
      <w:pPr>
        <w:spacing w:before="240" w:line="276" w:lineRule="auto"/>
        <w:rPr>
          <w:rFonts w:eastAsia="Calibri"/>
        </w:rPr>
      </w:pPr>
      <w:r w:rsidRPr="00A4268A">
        <w:rPr>
          <w:rFonts w:eastAsia="Calibri"/>
        </w:rPr>
        <w:t>Adverse events are well managed through an electronic management system, with improvement plans developed. Improvements have been made around the development and monitoring of recomme</w:t>
      </w:r>
      <w:r w:rsidRPr="00A4268A">
        <w:rPr>
          <w:rFonts w:eastAsia="Calibri"/>
        </w:rPr>
        <w:t xml:space="preserve">ndations following review. Several examples of improvements made following events were evident. </w:t>
      </w:r>
    </w:p>
    <w:p w14:paraId="081D5C8F" w14:textId="77777777" w:rsidR="009552B6" w:rsidRPr="00A4268A" w:rsidRDefault="00F36CE5">
      <w:pPr>
        <w:spacing w:before="240" w:line="276" w:lineRule="auto"/>
        <w:rPr>
          <w:rFonts w:eastAsia="Calibri"/>
        </w:rPr>
      </w:pPr>
      <w:r w:rsidRPr="00A4268A">
        <w:rPr>
          <w:rFonts w:eastAsia="Calibri"/>
        </w:rPr>
        <w:t>A range of mechanisms are used to ensure that the right numbers of staff are available to meet the changing needs of patients across the services. The organisa</w:t>
      </w:r>
      <w:r w:rsidRPr="00A4268A">
        <w:rPr>
          <w:rFonts w:eastAsia="Calibri"/>
        </w:rPr>
        <w:t>tion is well progressed with the implementation of the Care Capacity Demand Management (CCDM) programme, which is positively impacting on matching patient requirements to staffing. Close and effective monitoring of staffing requirements is supporting day-t</w:t>
      </w:r>
      <w:r w:rsidRPr="00A4268A">
        <w:rPr>
          <w:rFonts w:eastAsia="Calibri"/>
        </w:rPr>
        <w:t xml:space="preserve">o-day and longer term management of patient demand and complexity.  </w:t>
      </w:r>
    </w:p>
    <w:bookmarkEnd w:id="13"/>
    <w:p w14:paraId="6974875B" w14:textId="77777777" w:rsidR="009552B6" w:rsidRPr="00A4268A" w:rsidRDefault="009552B6">
      <w:pPr>
        <w:spacing w:before="240" w:line="276" w:lineRule="auto"/>
        <w:rPr>
          <w:rFonts w:eastAsia="Calibri"/>
        </w:rPr>
      </w:pPr>
    </w:p>
    <w:p w14:paraId="36798ABF" w14:textId="77777777" w:rsidR="00460D43" w:rsidRDefault="00F36CE5" w:rsidP="000E6E02">
      <w:pPr>
        <w:pStyle w:val="Heading2"/>
        <w:spacing w:before="0"/>
        <w:rPr>
          <w:rFonts w:cs="Arial"/>
        </w:rPr>
      </w:pPr>
      <w:r>
        <w:rPr>
          <w:rFonts w:cs="Arial"/>
        </w:rPr>
        <w:t>Continuum of service delivery</w:t>
      </w:r>
    </w:p>
    <w:p w14:paraId="7D740544" w14:textId="77777777" w:rsidR="00E536CC" w:rsidRPr="005E14A4" w:rsidRDefault="00F36CE5" w:rsidP="00621629">
      <w:pPr>
        <w:spacing w:before="240" w:line="276" w:lineRule="auto"/>
        <w:rPr>
          <w:rFonts w:eastAsia="Calibri"/>
        </w:rPr>
      </w:pPr>
      <w:bookmarkStart w:id="14" w:name="ContinuumOfServiceDelivery"/>
      <w:r w:rsidRPr="00A4268A">
        <w:rPr>
          <w:rFonts w:eastAsia="Calibri"/>
        </w:rPr>
        <w:t xml:space="preserve">Patient care was reviewed and evaluated across services with three patients reviewed </w:t>
      </w:r>
      <w:r w:rsidRPr="00A4268A">
        <w:rPr>
          <w:rFonts w:eastAsia="Calibri"/>
        </w:rPr>
        <w:t xml:space="preserve">using tracer methodology in the areas of maternity and mental health. In addition, four systems tracers were conducted in relation to management of the deteriorating patient, medication management, prevention of falls and infection prevention and control. </w:t>
      </w:r>
      <w:r w:rsidRPr="00A4268A">
        <w:rPr>
          <w:rFonts w:eastAsia="Calibri"/>
        </w:rPr>
        <w:t xml:space="preserve"> The information gathered from these tracers was supported by additional sampling.  </w:t>
      </w:r>
    </w:p>
    <w:p w14:paraId="66FB03DA" w14:textId="77777777" w:rsidR="009552B6" w:rsidRPr="00A4268A" w:rsidRDefault="00F36CE5" w:rsidP="00621629">
      <w:pPr>
        <w:spacing w:before="240" w:line="276" w:lineRule="auto"/>
        <w:rPr>
          <w:rFonts w:eastAsia="Calibri"/>
        </w:rPr>
      </w:pPr>
      <w:r w:rsidRPr="00A4268A">
        <w:rPr>
          <w:rFonts w:eastAsia="Calibri"/>
        </w:rPr>
        <w:t xml:space="preserve">Care is provided by suitably qualified and experienced staff who work in a multidisciplinary manner. Investigations and assessments are undertaken and used to assist with </w:t>
      </w:r>
      <w:r w:rsidRPr="00A4268A">
        <w:rPr>
          <w:rFonts w:eastAsia="Calibri"/>
        </w:rPr>
        <w:t xml:space="preserve">developing patients’ plans of care.  The falls prevention and deteriorating patient programmes are well established and now considered business as usual. </w:t>
      </w:r>
    </w:p>
    <w:p w14:paraId="46CFAFAA" w14:textId="77777777" w:rsidR="009552B6" w:rsidRPr="00A4268A" w:rsidRDefault="00F36CE5" w:rsidP="00621629">
      <w:pPr>
        <w:spacing w:before="240" w:line="276" w:lineRule="auto"/>
        <w:rPr>
          <w:rFonts w:eastAsia="Calibri"/>
        </w:rPr>
      </w:pPr>
      <w:r w:rsidRPr="00A4268A">
        <w:rPr>
          <w:rFonts w:eastAsia="Calibri"/>
        </w:rPr>
        <w:t xml:space="preserve">Discharge planning is actively occurring.  All patients and family members interviewed were </w:t>
      </w:r>
      <w:r w:rsidRPr="00A4268A">
        <w:rPr>
          <w:rFonts w:eastAsia="Calibri"/>
        </w:rPr>
        <w:t>complementary about services received and advise ongoing communication with staff was timely and clear.</w:t>
      </w:r>
    </w:p>
    <w:p w14:paraId="2892F50F" w14:textId="77777777" w:rsidR="009552B6" w:rsidRPr="00A4268A" w:rsidRDefault="00F36CE5" w:rsidP="00621629">
      <w:pPr>
        <w:spacing w:before="240" w:line="276" w:lineRule="auto"/>
        <w:rPr>
          <w:rFonts w:eastAsia="Calibri"/>
        </w:rPr>
      </w:pPr>
      <w:r w:rsidRPr="00A4268A">
        <w:rPr>
          <w:rFonts w:eastAsia="Calibri"/>
        </w:rPr>
        <w:t>Policies and procedures provide guidance for staff on medicines management. The national medicine chart is in use. Allergies are assessed and communicat</w:t>
      </w:r>
      <w:r w:rsidRPr="00A4268A">
        <w:rPr>
          <w:rFonts w:eastAsia="Calibri"/>
        </w:rPr>
        <w:t>ed. Medicines are stored safely and managed effectively throughout the organisation.</w:t>
      </w:r>
    </w:p>
    <w:bookmarkEnd w:id="14"/>
    <w:p w14:paraId="28D0144C" w14:textId="77777777" w:rsidR="009552B6" w:rsidRPr="00A4268A" w:rsidRDefault="009552B6" w:rsidP="00621629">
      <w:pPr>
        <w:spacing w:before="240" w:line="276" w:lineRule="auto"/>
        <w:rPr>
          <w:rFonts w:eastAsia="Calibri"/>
        </w:rPr>
      </w:pPr>
    </w:p>
    <w:p w14:paraId="51A764E6" w14:textId="77777777" w:rsidR="00460D43" w:rsidRDefault="00F36CE5" w:rsidP="000E6E02">
      <w:pPr>
        <w:pStyle w:val="Heading2"/>
        <w:spacing w:before="0"/>
        <w:rPr>
          <w:rFonts w:cs="Arial"/>
        </w:rPr>
      </w:pPr>
      <w:r>
        <w:rPr>
          <w:rFonts w:cs="Arial"/>
        </w:rPr>
        <w:t>Safe and appropriate environment</w:t>
      </w:r>
    </w:p>
    <w:p w14:paraId="6777AD43" w14:textId="77777777" w:rsidR="00460D43" w:rsidRDefault="00F36CE5">
      <w:pPr>
        <w:spacing w:before="240" w:line="276" w:lineRule="auto"/>
        <w:rPr>
          <w:rFonts w:eastAsia="Calibri"/>
        </w:rPr>
      </w:pPr>
      <w:bookmarkStart w:id="15" w:name="SafeAndAppropriateEnvironment"/>
      <w:r w:rsidRPr="00A4268A">
        <w:rPr>
          <w:rFonts w:eastAsia="Calibri"/>
        </w:rPr>
        <w:t>Building warrants of fitness were current.  There have been changes to service contracts with the testing of bio-medical equipment now ‘in-house’ in partnership with the</w:t>
      </w:r>
      <w:r w:rsidRPr="00A4268A">
        <w:rPr>
          <w:rFonts w:eastAsia="Calibri"/>
        </w:rPr>
        <w:t xml:space="preserve"> MidCentral District Health Board and testing of electrical equipment and maintenance contracted to a new provider. Monthly reports track progress. </w:t>
      </w:r>
    </w:p>
    <w:bookmarkEnd w:id="15"/>
    <w:p w14:paraId="753EE15E" w14:textId="77777777" w:rsidR="009552B6" w:rsidRPr="00A4268A" w:rsidRDefault="009552B6">
      <w:pPr>
        <w:spacing w:before="240" w:line="276" w:lineRule="auto"/>
        <w:rPr>
          <w:rFonts w:eastAsia="Calibri"/>
        </w:rPr>
      </w:pPr>
    </w:p>
    <w:p w14:paraId="0858CC63" w14:textId="77777777" w:rsidR="00460D43" w:rsidRDefault="00F36CE5" w:rsidP="000E6E02">
      <w:pPr>
        <w:pStyle w:val="Heading2"/>
        <w:spacing w:before="0"/>
        <w:rPr>
          <w:rFonts w:cs="Arial"/>
        </w:rPr>
      </w:pPr>
      <w:r>
        <w:rPr>
          <w:rFonts w:cs="Arial"/>
        </w:rPr>
        <w:t>Restraint minimisation and safe practice</w:t>
      </w:r>
    </w:p>
    <w:p w14:paraId="141517C4" w14:textId="77777777" w:rsidR="00460D43" w:rsidRDefault="00F36CE5">
      <w:pPr>
        <w:spacing w:before="240" w:line="276" w:lineRule="auto"/>
        <w:rPr>
          <w:rFonts w:eastAsia="Calibri"/>
        </w:rPr>
      </w:pPr>
      <w:bookmarkStart w:id="16" w:name="RestraintMinimisationAndSafePractice"/>
      <w:r w:rsidRPr="00A4268A">
        <w:rPr>
          <w:rFonts w:eastAsia="Calibri"/>
        </w:rPr>
        <w:t xml:space="preserve">The focus of the organisation is on the minimisation of restraint, supported by related </w:t>
      </w:r>
      <w:r w:rsidRPr="00A4268A">
        <w:rPr>
          <w:rFonts w:eastAsia="Calibri"/>
        </w:rPr>
        <w:t>policies and processes.  Enabler use is part of this process and policies promote voluntary use of enablers at the request of the patient.  Documentation of the use of enablers was well documented in the records reviewed.</w:t>
      </w:r>
    </w:p>
    <w:bookmarkEnd w:id="16"/>
    <w:p w14:paraId="083D837D" w14:textId="77777777" w:rsidR="009552B6" w:rsidRPr="00A4268A" w:rsidRDefault="009552B6">
      <w:pPr>
        <w:spacing w:before="240" w:line="276" w:lineRule="auto"/>
        <w:rPr>
          <w:rFonts w:eastAsia="Calibri"/>
        </w:rPr>
      </w:pPr>
    </w:p>
    <w:p w14:paraId="3AE9F840" w14:textId="77777777" w:rsidR="00460D43" w:rsidRDefault="00F36CE5" w:rsidP="000E6E02">
      <w:pPr>
        <w:pStyle w:val="Heading2"/>
        <w:spacing w:before="0"/>
        <w:rPr>
          <w:rFonts w:cs="Arial"/>
        </w:rPr>
      </w:pPr>
      <w:r>
        <w:rPr>
          <w:rFonts w:cs="Arial"/>
        </w:rPr>
        <w:t>Infection prevention and control</w:t>
      </w:r>
    </w:p>
    <w:p w14:paraId="6EEC8B42" w14:textId="77777777" w:rsidR="00460D43" w:rsidRDefault="00F36CE5">
      <w:pPr>
        <w:spacing w:before="240" w:line="276" w:lineRule="auto"/>
        <w:rPr>
          <w:rFonts w:eastAsia="Calibri"/>
        </w:rPr>
      </w:pPr>
      <w:bookmarkStart w:id="17" w:name="InfectionPreventionAndControl"/>
      <w:r w:rsidRPr="00A4268A">
        <w:rPr>
          <w:rFonts w:eastAsia="Calibri"/>
        </w:rPr>
        <w:t xml:space="preserve">A thorough surveillance programme for infections is implemented and is appropriate to the service setting.  Significant organisms (including multi-drug resistant </w:t>
      </w:r>
      <w:r w:rsidRPr="00A4268A">
        <w:rPr>
          <w:rFonts w:eastAsia="Calibri"/>
        </w:rPr>
        <w:t>organisms), device related, blood stream and surgical site infections, outbreaks and hand hygiene compliance rates are monitored, analysed and reported. A particular focus has been line associated infections as part of the ‘Know your IV line’ ACC initiativ</w:t>
      </w:r>
      <w:r w:rsidRPr="00A4268A">
        <w:rPr>
          <w:rFonts w:eastAsia="Calibri"/>
        </w:rPr>
        <w:t>e and the DHB ‘One patient, one cannula’ approach.  A systematic approach to review the process related to the insertion and care of intravenous devices indicates low levels of device associated infections but identified the need to improve documentation o</w:t>
      </w:r>
      <w:r w:rsidRPr="00A4268A">
        <w:rPr>
          <w:rFonts w:eastAsia="Calibri"/>
        </w:rPr>
        <w:t>f the devices within the new nursing record.</w:t>
      </w:r>
    </w:p>
    <w:p w14:paraId="30C17845" w14:textId="599D277F" w:rsidR="00EB7645" w:rsidRDefault="00F36CE5" w:rsidP="00BE00C7">
      <w:pPr>
        <w:pStyle w:val="OutcomeDescription"/>
        <w:spacing w:before="120" w:after="120"/>
        <w:rPr>
          <w:rFonts w:cs="Arial"/>
          <w:lang w:eastAsia="en-NZ"/>
        </w:rPr>
      </w:pPr>
      <w:bookmarkStart w:id="18" w:name="AuditSummaryCAMImprovment"/>
      <w:bookmarkEnd w:id="17"/>
      <w:bookmarkEnd w:id="18"/>
    </w:p>
    <w:p w14:paraId="7D0126AC" w14:textId="30359822" w:rsidR="00F36CE5" w:rsidRDefault="00F36CE5" w:rsidP="00BE00C7">
      <w:pPr>
        <w:pStyle w:val="OutcomeDescription"/>
        <w:spacing w:before="120" w:after="120"/>
        <w:rPr>
          <w:rFonts w:cs="Arial"/>
          <w:lang w:eastAsia="en-NZ"/>
        </w:rPr>
      </w:pPr>
    </w:p>
    <w:p w14:paraId="131A2FBD" w14:textId="6EA621E6" w:rsidR="00F36CE5" w:rsidRDefault="00F36CE5" w:rsidP="00BE00C7">
      <w:pPr>
        <w:pStyle w:val="OutcomeDescription"/>
        <w:spacing w:before="120" w:after="120"/>
        <w:rPr>
          <w:rFonts w:cs="Arial"/>
          <w:lang w:eastAsia="en-NZ"/>
        </w:rPr>
      </w:pPr>
    </w:p>
    <w:p w14:paraId="766F7641" w14:textId="77777777" w:rsidR="00F36CE5" w:rsidRPr="00BE00C7" w:rsidRDefault="00F36CE5" w:rsidP="00BE00C7">
      <w:pPr>
        <w:pStyle w:val="OutcomeDescription"/>
        <w:spacing w:before="120" w:after="120"/>
        <w:rPr>
          <w:rFonts w:cs="Arial"/>
          <w:lang w:eastAsia="en-NZ"/>
        </w:rPr>
      </w:pPr>
    </w:p>
    <w:p w14:paraId="092FBD38" w14:textId="77777777" w:rsidR="008F3634" w:rsidRDefault="00F36CE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28E61" w14:textId="77777777" w:rsidR="00000000" w:rsidRDefault="00F36CE5">
      <w:r>
        <w:separator/>
      </w:r>
    </w:p>
  </w:endnote>
  <w:endnote w:type="continuationSeparator" w:id="0">
    <w:p w14:paraId="384DE06F" w14:textId="77777777" w:rsidR="00000000" w:rsidRDefault="00F3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7DF33" w14:textId="77777777" w:rsidR="000B00BC" w:rsidRDefault="00F36CE5">
    <w:pPr>
      <w:pStyle w:val="Footer"/>
    </w:pPr>
  </w:p>
  <w:p w14:paraId="7CCA9405" w14:textId="77777777" w:rsidR="005A4A55" w:rsidRDefault="00F36CE5"/>
  <w:p w14:paraId="029D849F" w14:textId="77777777" w:rsidR="005A4A55" w:rsidRDefault="00F36CE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A14CC" w14:textId="77777777" w:rsidR="000B00BC" w:rsidRPr="000B00BC" w:rsidRDefault="00F36CE5"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Whanganui District Health Board - Whanganui Hospital</w:t>
    </w:r>
    <w:bookmarkEnd w:id="19"/>
    <w:r>
      <w:rPr>
        <w:rFonts w:cs="Arial"/>
        <w:sz w:val="16"/>
        <w:szCs w:val="20"/>
      </w:rPr>
      <w:tab/>
      <w:t xml:space="preserve">Date of Audit: </w:t>
    </w:r>
    <w:bookmarkStart w:id="20" w:name="AuditStartDate1"/>
    <w:r>
      <w:rPr>
        <w:rFonts w:cs="Arial"/>
        <w:sz w:val="16"/>
        <w:szCs w:val="20"/>
      </w:rPr>
      <w:t>6 July 2021</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2CBA4B" w14:textId="77777777" w:rsidR="005A4A55" w:rsidRDefault="00F36C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ED228" w14:textId="77777777" w:rsidR="000B00BC" w:rsidRDefault="00F36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AD222" w14:textId="77777777" w:rsidR="00000000" w:rsidRDefault="00F36CE5">
      <w:r>
        <w:separator/>
      </w:r>
    </w:p>
  </w:footnote>
  <w:footnote w:type="continuationSeparator" w:id="0">
    <w:p w14:paraId="4DC88880" w14:textId="77777777" w:rsidR="00000000" w:rsidRDefault="00F3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93CB" w14:textId="77777777" w:rsidR="000B00BC" w:rsidRDefault="00F36CE5">
    <w:pPr>
      <w:pStyle w:val="Header"/>
    </w:pPr>
  </w:p>
  <w:p w14:paraId="3B66AD09" w14:textId="77777777" w:rsidR="005A4A55" w:rsidRDefault="00F36C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47FF" w14:textId="77777777" w:rsidR="000B00BC" w:rsidRDefault="00F36CE5">
    <w:pPr>
      <w:pStyle w:val="Header"/>
    </w:pPr>
  </w:p>
  <w:p w14:paraId="116FABD3" w14:textId="77777777" w:rsidR="005A4A55" w:rsidRDefault="00F36C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2E93" w14:textId="77777777" w:rsidR="000B00BC" w:rsidRDefault="00F36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E5E095C">
      <w:start w:val="1"/>
      <w:numFmt w:val="decimal"/>
      <w:lvlText w:val="%1."/>
      <w:lvlJc w:val="left"/>
      <w:pPr>
        <w:ind w:left="360" w:hanging="360"/>
      </w:pPr>
    </w:lvl>
    <w:lvl w:ilvl="1" w:tplc="72D822DC" w:tentative="1">
      <w:start w:val="1"/>
      <w:numFmt w:val="lowerLetter"/>
      <w:lvlText w:val="%2."/>
      <w:lvlJc w:val="left"/>
      <w:pPr>
        <w:ind w:left="1080" w:hanging="360"/>
      </w:pPr>
    </w:lvl>
    <w:lvl w:ilvl="2" w:tplc="C130FDA2" w:tentative="1">
      <w:start w:val="1"/>
      <w:numFmt w:val="lowerRoman"/>
      <w:lvlText w:val="%3."/>
      <w:lvlJc w:val="right"/>
      <w:pPr>
        <w:ind w:left="1800" w:hanging="180"/>
      </w:pPr>
    </w:lvl>
    <w:lvl w:ilvl="3" w:tplc="F82A17A8" w:tentative="1">
      <w:start w:val="1"/>
      <w:numFmt w:val="decimal"/>
      <w:lvlText w:val="%4."/>
      <w:lvlJc w:val="left"/>
      <w:pPr>
        <w:ind w:left="2520" w:hanging="360"/>
      </w:pPr>
    </w:lvl>
    <w:lvl w:ilvl="4" w:tplc="EF90EECA" w:tentative="1">
      <w:start w:val="1"/>
      <w:numFmt w:val="lowerLetter"/>
      <w:lvlText w:val="%5."/>
      <w:lvlJc w:val="left"/>
      <w:pPr>
        <w:ind w:left="3240" w:hanging="360"/>
      </w:pPr>
    </w:lvl>
    <w:lvl w:ilvl="5" w:tplc="83FE4E90" w:tentative="1">
      <w:start w:val="1"/>
      <w:numFmt w:val="lowerRoman"/>
      <w:lvlText w:val="%6."/>
      <w:lvlJc w:val="right"/>
      <w:pPr>
        <w:ind w:left="3960" w:hanging="180"/>
      </w:pPr>
    </w:lvl>
    <w:lvl w:ilvl="6" w:tplc="44FCFFBA" w:tentative="1">
      <w:start w:val="1"/>
      <w:numFmt w:val="decimal"/>
      <w:lvlText w:val="%7."/>
      <w:lvlJc w:val="left"/>
      <w:pPr>
        <w:ind w:left="4680" w:hanging="360"/>
      </w:pPr>
    </w:lvl>
    <w:lvl w:ilvl="7" w:tplc="2C4E2BB0" w:tentative="1">
      <w:start w:val="1"/>
      <w:numFmt w:val="lowerLetter"/>
      <w:lvlText w:val="%8."/>
      <w:lvlJc w:val="left"/>
      <w:pPr>
        <w:ind w:left="5400" w:hanging="360"/>
      </w:pPr>
    </w:lvl>
    <w:lvl w:ilvl="8" w:tplc="527263B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90440D6">
      <w:start w:val="1"/>
      <w:numFmt w:val="bullet"/>
      <w:lvlText w:val=""/>
      <w:lvlJc w:val="left"/>
      <w:pPr>
        <w:ind w:left="720" w:hanging="360"/>
      </w:pPr>
      <w:rPr>
        <w:rFonts w:ascii="Symbol" w:hAnsi="Symbol" w:hint="default"/>
      </w:rPr>
    </w:lvl>
    <w:lvl w:ilvl="1" w:tplc="C2C49620" w:tentative="1">
      <w:start w:val="1"/>
      <w:numFmt w:val="bullet"/>
      <w:lvlText w:val="o"/>
      <w:lvlJc w:val="left"/>
      <w:pPr>
        <w:ind w:left="1440" w:hanging="360"/>
      </w:pPr>
      <w:rPr>
        <w:rFonts w:ascii="Courier New" w:hAnsi="Courier New" w:cs="Courier New" w:hint="default"/>
      </w:rPr>
    </w:lvl>
    <w:lvl w:ilvl="2" w:tplc="CC4E6CFE" w:tentative="1">
      <w:start w:val="1"/>
      <w:numFmt w:val="bullet"/>
      <w:lvlText w:val=""/>
      <w:lvlJc w:val="left"/>
      <w:pPr>
        <w:ind w:left="2160" w:hanging="360"/>
      </w:pPr>
      <w:rPr>
        <w:rFonts w:ascii="Wingdings" w:hAnsi="Wingdings" w:hint="default"/>
      </w:rPr>
    </w:lvl>
    <w:lvl w:ilvl="3" w:tplc="B3100FA8" w:tentative="1">
      <w:start w:val="1"/>
      <w:numFmt w:val="bullet"/>
      <w:lvlText w:val=""/>
      <w:lvlJc w:val="left"/>
      <w:pPr>
        <w:ind w:left="2880" w:hanging="360"/>
      </w:pPr>
      <w:rPr>
        <w:rFonts w:ascii="Symbol" w:hAnsi="Symbol" w:hint="default"/>
      </w:rPr>
    </w:lvl>
    <w:lvl w:ilvl="4" w:tplc="E0C6C7DE" w:tentative="1">
      <w:start w:val="1"/>
      <w:numFmt w:val="bullet"/>
      <w:lvlText w:val="o"/>
      <w:lvlJc w:val="left"/>
      <w:pPr>
        <w:ind w:left="3600" w:hanging="360"/>
      </w:pPr>
      <w:rPr>
        <w:rFonts w:ascii="Courier New" w:hAnsi="Courier New" w:cs="Courier New" w:hint="default"/>
      </w:rPr>
    </w:lvl>
    <w:lvl w:ilvl="5" w:tplc="0C72BA76" w:tentative="1">
      <w:start w:val="1"/>
      <w:numFmt w:val="bullet"/>
      <w:lvlText w:val=""/>
      <w:lvlJc w:val="left"/>
      <w:pPr>
        <w:ind w:left="4320" w:hanging="360"/>
      </w:pPr>
      <w:rPr>
        <w:rFonts w:ascii="Wingdings" w:hAnsi="Wingdings" w:hint="default"/>
      </w:rPr>
    </w:lvl>
    <w:lvl w:ilvl="6" w:tplc="E2C06474" w:tentative="1">
      <w:start w:val="1"/>
      <w:numFmt w:val="bullet"/>
      <w:lvlText w:val=""/>
      <w:lvlJc w:val="left"/>
      <w:pPr>
        <w:ind w:left="5040" w:hanging="360"/>
      </w:pPr>
      <w:rPr>
        <w:rFonts w:ascii="Symbol" w:hAnsi="Symbol" w:hint="default"/>
      </w:rPr>
    </w:lvl>
    <w:lvl w:ilvl="7" w:tplc="139EF994" w:tentative="1">
      <w:start w:val="1"/>
      <w:numFmt w:val="bullet"/>
      <w:lvlText w:val="o"/>
      <w:lvlJc w:val="left"/>
      <w:pPr>
        <w:ind w:left="5760" w:hanging="360"/>
      </w:pPr>
      <w:rPr>
        <w:rFonts w:ascii="Courier New" w:hAnsi="Courier New" w:cs="Courier New" w:hint="default"/>
      </w:rPr>
    </w:lvl>
    <w:lvl w:ilvl="8" w:tplc="4ECEA37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B6"/>
    <w:rsid w:val="009552B6"/>
    <w:rsid w:val="00F36C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0316"/>
  <w15:docId w15:val="{FDCBDD63-E18E-4BEB-8798-20CE311B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1336</Words>
  <Characters>7617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2021-09-14T23:58:00Z</dcterms:created>
  <dcterms:modified xsi:type="dcterms:W3CDTF">2021-09-14T23:58:00Z</dcterms:modified>
</cp:coreProperties>
</file>