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Cascades Retirement Resort Limited - The Cascades Retirement Resort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Cascades Retirement Resort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Cascades Retirement Resort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July 2021</w:t>
      </w:r>
      <w:bookmarkEnd w:id="7"/>
      <w:r w:rsidRPr="009418D4">
        <w:rPr>
          <w:rFonts w:cs="Arial"/>
        </w:rPr>
        <w:tab/>
        <w:t xml:space="preserve">End date: </w:t>
      </w:r>
      <w:bookmarkStart w:id="8" w:name="AuditEndDate"/>
      <w:r w:rsidR="00A4268A">
        <w:rPr>
          <w:rFonts w:cs="Arial"/>
        </w:rPr>
        <w:t>14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Cascades Retirement Resort is part of the Arvida aged care residential group.  The service provides rest home and hospital level of care for up to 74 residents in the care facility and rest home level of care for up to up to 32 residents in serviced apartments.  On the day of the audit there were 71 residents.  The residents, relatives and nurse practitioner commented positively on the care and services provided at the Cascades.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nurse practitioner.</w:t>
      </w:r>
    </w:p>
    <w:p w:rsidRPr="00A4268A">
      <w:pPr>
        <w:spacing w:before="240" w:line="276" w:lineRule="auto"/>
        <w:rPr>
          <w:rFonts w:eastAsia="Calibri"/>
        </w:rPr>
      </w:pPr>
      <w:r w:rsidRPr="00A4268A">
        <w:rPr>
          <w:rFonts w:eastAsia="Calibri"/>
        </w:rPr>
        <w:t xml:space="preserve">The village manager (non-clinical) has experience in business management and is supported by a clinical manager (registered nurse).  The management team are supported by a national quality manager and personnel at support office.    </w:t>
      </w:r>
    </w:p>
    <w:p w:rsidRPr="00A4268A">
      <w:pPr>
        <w:spacing w:before="240" w:line="276" w:lineRule="auto"/>
        <w:rPr>
          <w:rFonts w:eastAsia="Calibri"/>
        </w:rPr>
      </w:pPr>
      <w:r w:rsidRPr="00A4268A">
        <w:rPr>
          <w:rFonts w:eastAsia="Calibri"/>
        </w:rPr>
        <w:t xml:space="preserve">The service has achieved continuous improvement ratings for good practice and training.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Staff at the Cascades Retirement resort strive to ensure that care is provided in a way that focuses on the individual, values residents' autonomy and maintains their privacy and choice.  The service functions in a way that complies with the Health and Disability Commissioner’s Code of Consumers’ Rights (the Code).  Care plans accommodate the choices of residents and/or their family/whānau.  Residents’ cultural needs are met.  Policies are implemented to support residents’ rights, communication, and complaints management.  Complaints and concerns have been managed and a complaints register is maintained.  Resident information is kept private and secure.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Cascades Retirement resort has a current business plan and quality and risk management plan that outlines objectives for the year.  Policies and procedures are reviewed at support office and implemented by the service.  Quality data is collated and reported to the monthly quality and staff meetings.  Internal audits are completed as scheduled.  Residents and relatives are provided the opportunity to feedback on service delivery at resident meetings and through annual resident/relative satisfaction surveys.  There is a reporting process to record and manage resident incidents.  Incidents are collated monthly and reported to facility meetings.  There is an orientation programme in place that provides new staff with relevant information for safe work practice.  The in-service education programme includes online learning, onsite education sessions and opportunities to attend external training.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included medical notes by the contracted general practitioner, nurse practitioners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Individualised, age-appropriate activity plans are in place for those residents under 65 years of age.  </w:t>
      </w:r>
    </w:p>
    <w:p w:rsidRPr="00A4268A" w:rsidP="00621629">
      <w:pPr>
        <w:spacing w:before="240" w:line="276" w:lineRule="auto"/>
        <w:rPr>
          <w:rFonts w:eastAsia="Calibri"/>
        </w:rPr>
      </w:pPr>
      <w:r w:rsidRPr="00A4268A">
        <w:rPr>
          <w:rFonts w:eastAsia="Calibri"/>
        </w:rPr>
        <w:t xml:space="preserve">All cooking and baking are done on site.  Residents' nutritional needs are identified and documented.  Choices are available and are provided.  The Arvida wellness and care dietitian reviews the organisation’s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Cascades Retirement Resort has two main care areas (stage 1 and 2) linked by a wide internal corridor that includes a nurse’s station and resident seating areas.  These areas are then further divided in to wings which have been named by the residents and staff themselves (sunflower, top team, forget me not, speed bumps and orchard wings).  The building has a current building warrant of fitness certificate displayed at the main entrance.  Resident rooms are single, personalised, and spacious with an ensuite.  The environment is warm and comfortable.  There is adequate room for residents to move freely about the home using mobility aids.  Communal areas are well utilised for group and individual activity.  The dining and lounge-seating placement encourages social interaction between residents and all areas are certified dual purpose rest home and hospital level care.  There are outdoor areas that are safe and accessible.  There is a reactive and planned maintenance schedule in place.  The onsite laundry operates throughout the day.  The cleaning service maintains a tidy, clean environment.  Staff are trained in emergency management procedures.  The service is well prepared in the event of an emergency.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Cascades Retirement resort has restraint minimisation and safe practice policies and procedures in place.  At the time of the audit there were five residents with restraints and two residents using an enabler.  Assessments and consents were fully completed in the resident files reviewed.  The clinical manager is the designated restraint coordinator.  Staff receive training around restraint minimisation and the management of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The infection control coordinator is the registered nurse/team leader who has completed infection control education.  All staff complete infection control education as part of their orientation and as part of the ongoing in-service education programme.  </w:t>
      </w:r>
    </w:p>
    <w:p w:rsidRPr="00A4268A">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6"/>
        <w:gridCol w:w="1280"/>
        <w:gridCol w:w="97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thirteen care staff (eight caregivers/wellness partners, two registered nurses (RN), one team leader/RN, one wellness leader/diversional therapist (DT) and one activities coordinator) confirmed their familiarity with the Code.  Interviews with six residents (three rest home and three hospital) and seven families (two rest home and five hospital) confirmed the services being provided are in line with the Code.  The Code is discussed at resident, staff, and quality meetings.  Staff receive training on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around informed consent, resuscitation status, advance directives, and enduring power of attorney (EPOA).  Informed consent is discussed with residents and families on admission as confirmed in resident and relative interviews.  General informed consent is included in the admission agreement sighted in the nine resident files reviewed (four hospital including one resident under YPD funding, four rest home, including one resident on a post-acute convalescent care package (PACC), and one on carer support respite).  Specific consent forms were signed for influenza and Covid-19 vaccines.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forms have been appropriately signed in the rest home and hospital level files.  There is evidence of discussion with family when the GP has completed a clinically indicated ‘not for resuscitation’ order.  Advanced directives include hospital admission, active treatments and resuscitation which were correctly completed by the resident for resident files sampled.  </w:t>
            </w:r>
          </w:p>
          <w:p w:rsidR="00EB7645" w:rsidRPr="00BE00C7" w:rsidP="00BE00C7">
            <w:pPr>
              <w:pStyle w:val="OutcomeDescription"/>
              <w:spacing w:before="120" w:after="120"/>
              <w:rPr>
                <w:rFonts w:cs="Arial"/>
                <w:b w:val="0"/>
                <w:lang w:eastAsia="en-NZ"/>
              </w:rPr>
            </w:pPr>
            <w:r w:rsidRPr="00BE00C7">
              <w:rPr>
                <w:rFonts w:cs="Arial"/>
                <w:b w:val="0"/>
                <w:lang w:eastAsia="en-NZ"/>
              </w:rPr>
              <w:t>Caregivers and registered nurses interviewed confirmed verbal consent is obtained when delivering care.  Family members stated they are involved in decisions that affect their relative’s lives.  All nine resident files reviewed had a signed admission agreement including short term agreements for those residents on respite/PACC.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is available in resident rooms.  This includes advocacy contact details.  The information pack provided to residents at the time of entry to the service provides residents and family/whānau with advocacy information.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Residents and relatives interviewed confirmed that relative/family visiting could occur at any time.  The service is focusing on increasing community links under the Arvida living well model.  There are community links in place with church groups, entertainers, Age Concern, and cultural links.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which is included in the information pack.  Complaint forms are available in the resident’s folder held in each resident room.  Staff are aware of the complaints process and to whom they should direct complaints.  The village manager is the privacy officer for the facility and there is a group privacy officer based at support office.  A complaints register is available.  There have been five concerns/complaints in 2020 and two complaints to date for 2021.  The complaints reviewed have been managed appropriately with acknowledgement, investigations, responses, and resolution recorded including offer of advocacy.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they were aware of the complaint procedure.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in English and Māori on display at the front entrance.  Information is given to next of kin or enduring power of attorney (EPOA) to read with the resident and discuss.  On entry to the service the clinical manager discusses the information pack including Code of Rights with the resident and the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knocking on resident room doors before entering.  Staff interviewed could describe how they manage maintaining privacy and respect of personal property.  There is a policy that describes spiritual care.  Church services are conducted regularly.  Residents interviewed indicated that their spiritual needs, dignity, privacy, and respect were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There is a Māori health plan.  There was one Māori resident at the time of the audit who did not identify with Māori culture.  The service has established links with Waikato DHB Kaitiaki and Kaitakawaenga teams who support Māori patients and their whānau provides advice and guidance on cultural matters.  Staff interviewed confirmed they are aware of the need to respond appropriately to maintain cultural safety.  Staff complete cultural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Residents interviewed reported that they were satisfied that their cultural and individual values were being met.  Residents of other cultures including cultural beliefs and values is incorporated into the care plan, which the resident (if appropriate) and/or their family/whānau are asked to consult on.  The service has a link to K’aute Pasifika Trust for support for its Pacific Island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Job descriptions include responsibilities and scope of the position.  The orientation and employee agreement provided to staff on induction includes standards of conduct house rules and disclosure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Arvida Cascades resort have fully implemented the household model which focuses on supporting each resident to live well and be actively engaged in their life the way they want it to be.  Residents are encouraged and supported to create a comfortable living space suited to their particular needs and personal tastes.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Cascades resort has built up relationships with DHB key personnel and have several short-term stay contracts, many of whom are complex needs.  The service has increased RN education specifically to meet complex needs.  The clinical manager has completed a postgraduate diploma and is a prescribing RN practitioner.  The service has exceeded the standard around good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Fifteen incident/accidents forms reviewed for May 2021 had documented evidence of family notification.  Relatives interviewed confirmed that they are notified of any changes in their family member’s health status.  Residents have the opportunity to feedback on all areas of the service through resident meetings.  Families are kept updated on facility matters and Covid restrictions through updates sent from support office.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Cascades Retirement Resort is owned and operated by the Arvida Group.  The service provides rest home and hospital level care (medical and geriatric services) for up to 106 residents, with 74 dual-purpose beds in the care centre and up to 32 serviced apartments certified to provide rest home level care.  On the day of audit there were 71 residents.  There were 47 residents at rest home level including one younger person, one respite care and four residents on post-acute convalescent care (PACC funded DHB).  There were 24 hospital residents including two younger people.  There were no residents under a long-term chronic health condition contract and no rest home level residents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three years and has a background in business development.  She is supported by an experienced clinical manager/RN prescriber who was appointed December 2018 and has completed a diploma in nursing.  HealthCERT were notified of the new clinical manager December 2018.  Both managers are supported by a national quality manager (present at audit) and other senior management at support office.  The village manager provides a monthly report to the general manager of wellness and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overall business/strategic plan.  Arvida Cascades has an annual business plan which includes a mission statement, vision, and values.  The Cascades has implemented the Living Well model and has silver status.  There are goals set around key performance indicators including clinical areas, occupancy, satisfaction survey, resident wellbeing, leadership and health and safety and achieving gold status for the living well model.  The business plan is evaluated six-monthly to monitor progress against goals.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completed at least eight hours of professional development in the past 12 months.  The clinical manager completed orientation specific to the clinical manager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takes responsibility for the role with support from the RN/team leader, general manager of wellness, national quality manager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plan for Arvida Cascades Retirement Resort.  There are weekly heads of departments/quality improvement meetings, monthly RN meetings and all staff meetings.  Other facility meetings are held for support staff.  Staff interviewed confirmed quality data such as accidents/incidents, infection rates, internal audits, concerns/complaints, survey results and quality improvements were discussed at meetings.  Restraint and enabler use is reviewed at the monthly quality meeting.  Staff have access to meetings minutes and read and sign to declare they have read the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are responsible for providing oversight of the quality programme on site, which is also monitored at an organisational level.  The quality and risk management programme are designed to monitor contractual and standards compliance.  The internal audit schedule is set at support office.  The audits are allocated to the relevant staff member to complete.  Corrective actions and re-audits are completed for audit results less than expected.  Staff are notified of any corrective actions via the case message board, meetings and at handovers.  A corrective actions log is maintained and documents when corrective actions are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annually to gather feedback on the service provided and the outcomes are communicated to residents, staff, and families.  The overall service result for the resident/relative satisfaction survey completed in January 2020 was at 80% with the highest rating of 90% for safety and security and 83% for care staff.  Food survey results were lowest at 62%.  A corrective action plan was developed which included greater resident input such as providing suggestions and recipes and cooking sessions for residents.  Residents interviewed stated the food services and meals had improved and the 2021 survey result for food had increased to 83% with the overall satisfaction result at 96%.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 National health and safety manager at support office.  The health and safety manager works with all the village managers to ensure compliance with all health and safety requirements across the group.  Health and safety goals are established and regularly reviewed at the village manager’s monthly zoom meeting.  Health and safety committee members who are representative of all departments are invited to hear the zoom meeting.  Two health and safety representatives interviewed (village manager and administrator) confirmed all staff completed health and safety induction with questionnaires repeated at one- and three-months employment to ensure understanding of health and safety requirements.  Health and safety representatives have attended training including critical incident management.  Staff have access to the Mango reporting system for hazards and accidents/incidents.  Managers are alerted of incidents through the Mango system.  Arvida is in the process of implementing WellNZ (ACC) and managers have attended training.  A health and safety noticeboard is maintained in the staffroom.  A contractor’s board is maintained.  There is a current hazard register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for individuals and across the service.  There is a discussion of incidents/accidents at management and staff meetings including actions to minimise recurrence.  A registered nurse (RN) conducts clinical follow-up of residents and physio input where required.  Fifteen incident/accident forms reviewed demonstrated appropriate clinical follow-up and investigation occurred following incidents.  Neurological observations had been completed as per protocol for unwitnessed falls or where there was a potential head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confirmed that there is an awareness of the requirement to notify relevant authorities in relation to essential notifications.  There have been five section 31 notifications completed since the last audit including three unstageable pressure injuries (two community and one facility acquired) in December 2019, February 2021, and May 2021.  One facility acquired deep suspected tissue pressure injury (facility acquired) was reported in April 2019.  A missing resident was reported in May 2019 (police search was cancelled).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outbreak of norovirus (unconfirmed) was notified to public health in January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requires that relevant checks are completed to validate the individual’s qualifications, experience, and veracity.  A record of practising certificates for RNs, GPs and other allied health professionals is maintained.  Eleven staff files were reviewed (one clinical manager, one RN/team leader, two RNs, three caregivers/wellness partners, one wellness leader, one kitchen manager, one laundry worker and one maintenance person) evidenced that employment agreements and job descriptions were signed, and reference checks were completed.  Annual performance appraisals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and is specific to the role.  The orientation includes completion of Altura online learning modules and practical assessments.  The administrator (health and safety representative) maintains a record of completed inductions.  A level 4 caregiver/wellness partner has been appointed 20 hours a week to complete practical assessments and oversee orientating care staff.  Arvida Cascades is closely located to the DHB and a preferred provider for student nurse placements.  Student nurses’ complete on-site orientation to Arvida Cascades.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complete Altura online sessions which cover the mandatory requirements.  There are also “live” training days with senior staff and external speakers such as pharmacist, chemical provider, hospice, and gerontology nurse specialist.  The physiotherapist provides repeat sessions for safe manual handling competencies.  Staff complete competencies relevant to their role such as medications, hoist training, safe food handling and chemical safety.  Staff have the opportunity to complete Careerforce units. Currently there are 58 caregivers/wellness partners and there are 23 with level 4, 15 with level 3 and 7 with level 2.   </w:t>
            </w:r>
          </w:p>
          <w:p w:rsidR="00EB7645" w:rsidRPr="00BE00C7" w:rsidP="00BE00C7">
            <w:pPr>
              <w:pStyle w:val="OutcomeDescription"/>
              <w:spacing w:before="120" w:after="120"/>
              <w:rPr>
                <w:rFonts w:cs="Arial"/>
                <w:b w:val="0"/>
                <w:lang w:eastAsia="en-NZ"/>
              </w:rPr>
            </w:pPr>
            <w:r w:rsidRPr="00BE00C7">
              <w:rPr>
                <w:rFonts w:cs="Arial"/>
                <w:b w:val="0"/>
                <w:lang w:eastAsia="en-NZ"/>
              </w:rPr>
              <w:t>There are 13 RNs.  Six RNs and the clinical manager have completed interRAI training.  Registered nurses have the opportunity to attend external training, including sessions provided by the local DHB.  Registered nurses have access to Ko Awatea DHB online training.  Registered nurses are allocated time to complete interRAI assessments, care plans and MDT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documented rationale for determining staffing levels and skill mixes for safe service delivery.  Sufficient staff are rostered on to manage the care requirements of the residents.  Staff, residents, and family members interviewed stated there were sufficient staff on duty.  The village manager and clinical manager work 40 hours per week from Monday to Friday.  The clinical manager and RN team leader share the on-call.  The RN on each shift is aware that extra staff can be called on for increased resident requirements.  There is a casual pool of care staff and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split into two areas called stage one and stage two.  Each stage has households with Top Team, Sunflower and Forget-me-not in stage 1 and Speedbumps and Orchards in stage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RN/team leader on duty seven days from 8 am-4.30 pm and from 1.30 pm-10 pm.  There are two RNs on morning, afternoon, and night shifts with one in stage 1 and the other in stage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Stage1: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Top team (14 beds): eight rest home and two hospital and two PAC funded residents – three caregivers on full morning shift and two on afternoon shift (one finishing at 10 pm and the other at midnight).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Sunflower (14 beds): eight rest home, four hospital and two PAC funded residents – two caregivers on full morning shift and two on afternoon shift (one finishing at 10 pm and the other at midnight).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Forget-me-not (14 beds): eight rest home, five hospital and one respite care (rest home) - three caregivers on full morning shift and two on afternoon shift (one finishing at 10 pm and the other at midnight).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Stage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Speedbumps (16 beds): eight rest home and seven hospital residents - three caregivers on full morning shift and two on afternoon shift (one finishing at 10 pm and the other at midnight).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Orchards (16 beds): 10 rest home and six hospital residents - three caregivers on full morning shift and a floater from 7 am- 3.30 pm.  There are two on afternoon shift (one finishing at 10 pm and the other at midnight).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caregivers on night shift in stage 1 and two caregivers on night shift in stage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staff for activities, food services, housekeeping/laundry, and maintenance.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Residents' files are electronically stored in the resident management system, and are password protected.  Other residents or members of the public cannot view sensitive resident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organisational admission policy.  All residents have a needs assessment completed prior to entry that identifies the level of care required.  The village manager and clinical manager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Short-stay agreements are also available for short-stay residents and these were sighted for short-term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all aspects of medication management, including self-administration.  There was one respite resident self-medicating on the day of audit.  All policy and legislative requirements had been met.  There are no standing orders and no vaccines stored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for long term residents.  Short term respite residents have paper-based medication charts and individually blister packed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checked on arrival and any pharmacy errors recorded and fed back to the supplying pharmacy.  Registered nurses, and medication competent, level 4 caregivers (team leaders) administer medications, have up to date medication competencies and there has been medication education in the last year.  Registered nurses have syringe driver training completed by the hospice.  The medication fridges and room temperatures are checked and within the required ranges.  Eye drops viewed in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(paper based for short term residents).  Eighteen medication charts were reviewed.  Medications are reviewed at least three-monthly by the GP.  There was photo identification and allergy status recorded.  ‘As required’ medications had indications for use charted and the effectiveness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manager/chef oversees the procurement of the food and management of the kitchen.  All meals are cooked on site, with meals being delivered to the stage 1 and 2 serveries in heated scan boxes.  The kitchen was observed to be clean and well organised, and a current approved food control plan was in evidence, expiring 14 December 2021.  All kitchen staff are qualified in food hygiene.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There is a procedure and policy for kitchen fridge and freezer temperatures to be monitored and recorded daily.  Food temperatures are checked at all meals.  The residents have a nutritional profile developed on admission, which identifies dietary requirements and likes and dislikes.  This is reviewed six-monthly as part of the care plan review.  Changes to residents’ dietary needs have been communicated to the kitchen using a printed dietary profile from the electronic resident management system.  Special diets and likes and dislikes are detailed on this dietary profile, a copy of which is kept by the kitchen for each resident.  The service provides a choice of self service, full service or dine in room for breakfast.  There is also a weekly hot breakfast option.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four-weekly seasonal menu is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expressed satisfaction with the meals.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indicated that all appropriate personal needs information is gathered during admission in consultation with the resident and their relative where appropriate.  InterRAI assessments had been completed for all long-term residents’ files reviewed.  Six monthly interRAI assessments and reviews were evident for six of nine resident files sampled as one hospital resident had not been in the service for six months, (PACC and respite residents in the rest home did not require interRAI). </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were appropriately completed according to need.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Residents and relatives interviewed stated that they were involved in the care planning process.  There was evidence of service integration with documented input from a range of specialist care professionals, including the Parkinson’s specialist nurse, dietitian, wound care specialist, occupational therapist, and geriatrician.  The care staff interviewed advised that the care plans were easy to follow.  Integration of records and monitoring documents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will initiate a GP/NP consultation.  Staff stated that they notify family members about any changes in their relative’s health status.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Care staff stated there are adequate clinical supplies and equipment provided, including continence and wound care supplies and these were sighted. 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ten chronic wounds (including cancers), twelve skin tears (five for one resident), one abrasion, and four classed as ‘other’ which includes ingrown toenails, blisters etc.  There were no pressure injuries.  There was evidence of wound nurse specialist and hospital consultant involvement in chronic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blood sugar levels, pain, vital signs and wounds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Wellness Leader and one activity assistant to develop and coordinate the activity programme.  Both are qualified diversional therapists (DT).  Caregivers/wellness partners are encouraged to involve themselves in activities with the residents.   The recreational programme incorporates the Arvida living well model – engaging well, thinking well, moving well, resting well, thinking well, and eating well.  The programme meets the physical, intellectual, cognitive, and emotional needs of the group of residents.  Activities include (but are not limited to); arts, crafts, news and views, exercises, walking groups, baking, music, music appreciation, story time, reminiscence, walks, board games, indoor games, pampering sessions, gardening, movies, and happy hour.  One on one time is spent with residents who choose not to or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van outings/scenic drives, with at least one staff member on the outings holding a first aid certificate.  Festive occasions and theme days are celebrated including Valentines, Mother’s Day, and Anzac.  The multicultural staff assist with the programme, engaging and involving residents in celebrations such as Diwali and Filipino cultural dance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pet therapy, churches, entertainers and a local beauty school for resident manicure, pedicure, and pampering sessions.  Residents have regular meetings where they have the opportunity to provide feedback on activities and provide suggestions to enhance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“About Me” and a Life history is completed soon after admission in consultation with resident and/or family to identify past hobbies, interests, occupation, family, spiritual and cultural supports.  Individual recreational preferences are identified for all residents including those residents under a younger person’s contract.  A Leisure care plan is developed and evaluated six-monthly at the same time as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and surveys.  Residents and relatives interviewed expressed a satisfaction in the activities offered and felt there was always some activity to attend of their choice.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evaluated by the RNs six-monthly or earlier if there was a change in resident health status.  Evaluations are documented and identify progress to meeting goals.  A six-monthly care plan review is also completed by the registered nurse with input from caregivers, the GP, NP, the wellness leader, resident (if appropriate)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GP/NP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registered nurse interviewed could describe the procedure for when a resident’s condition changes and the resident needs specialist input i.e., hospice.  Discussion with the clinical manager and registered nurses identifies that the service has access to a wide range of support either through the GP, specialists, mental health services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safe storage and use of chemicals.  Chemicals are stored safely within locked cleaners’ cupboards and the sluice rooms.   Chemicals are labelled correctly. Safety data sheets are available.  Chemical spills kits are available.  Personal protective equipment is available at the point of use.  Staff were observed to be wearing appropriate protective clothing.  All relevant staff have completed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the management of waste.  All waste was disposed of appropriately.  Approved sharps containers were in place for the safe disposal of sharps.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24 May 2022.  The service employs a full-time maintenance person who has responsibility for the facility and village maintenance.  There are maintenance request books in each side of the building that are checked daily and signed off as requests are completed.  There is an annual maintenance plan which includes testing and tagging of electrical equipment and servicing and calibrations for medical equipment.  Essential contractors are available 24 hours.  Hot water temperatures in resident areas are monitored monthly.  Corrective actions were evidenced for temperature recordings above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landscaped outdoor areas and internal courtyards.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registered nurses stated they have sufficient equipment to safely deliver the cares as outlined in the resident care plans.  There is adequate space in the facilities for storage of mobility/transferring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ensuites.  The toilet and shower facilities are of an appropriate design to meet the needs of the residents.  There are communal toilets near lounges.  There is a large communal shower room (and shower trolley) available for use.  Handrails are appropriately placed in ensuite bathrooms and communal showers and toilets.  Privacy is assured with the use privacy curtains and privacy locks on communal toilet/shower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in all the households are single, spacious, and of an adequate size appropriate to the level of care provided. There is adequate room to safely manoeuvre using mobility aids or a hoist for transfers if required.  Residents and their families are encouraged to personalise the bedrooms and a tour of the facility evidenced this personalisation of rooms including the residents own furnishing and decorative items.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stage one and stage two areas of the building each have a large communal dining room and large lounge with gas fire.  There are also smaller lounge/library areas for resident and family use.  The doors from the dining area open out onto a courtyard with seating and shade.  There are seating alcoves appropriately placed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corridors in both parts of the building are wide with appropriately placed handrails.  All communal areas are accessible to residents.  Care staff assist to transfer residents to communal areas for dining and activities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cleaning and laundry manual to guide staff in the safe and efficient use of laundry and cleaning services.  Cleaning and laundry services are monitored through the internal auditing system.  Safety data sheets are available in both the laundry and cleaners’ rooms.  All chemicals are stored in a locked cupboard.  There is appropriate personal protective wear readily available.  There are dedicated laundry staff and cleaners on duty seven days a week.  All laundry is undertaken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spacious and well organised and divided into a ‘dirty and clean’ area.  The laundry supervisor (interviewed) could describe the clean/dirty flow of the laundry.  The laundry is located in the basement and clean laundry is transported in covered trolleys by lift to the care centre.  All dirty laundry is sorted into bags and sent via the chute to the dirty area in the laundry for washing.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sighted were well equipped and are kept in designated locked areas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Sluice rooms were kept locked when not in use.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to ensure health, civil defence and other emergencies are included.  The fire evacuation plan was reviewed and approved 7 December 2020 following installation of three lifts and remedial work.   Six monthly fire evacuation drill was last held March 2021. Fire training and security situations are part of orientation of new staff and include competency assessments.  An evacuation chair was purchased, and staff training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civil defence equipment available.  Barbeques are available for alternative cooking method and there are sufficient non-perishable food items on-site.  There are two 400 litre and one 450 litre water tanks on-site to provide 3 litres of water per resident per day for 7 days.  The service has priority for the hire of a portable diesel generator.  There is emergency lighting.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secure after hours.  There is internal and external camera surveillance.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appropriately heated, have ample natural light and ventilation.  The facility utilises a combination of under floor heating and heat pumps, all of which are thermostatically controlled.  Staff and residents interviewed stated that these are effective.  All bedrooms and communal areas have at least one external window.  The whole site is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RN/team leader is the infection control (IC) coordinator with a job description that outlines the responsibility of the role.  The IC coordinator oversees infection control management for the facility.  The infection control coordinator reports infection rates, trends, and analysis to the monthly quality meeting.  The infection control programme is reviewed annually in January by support office personnel in consultation with the infection control coordinator and key facility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Hand sanitisers were appropriately placed throughout the facility.  Residents and staff are offered the annual influenza vaccine.  Covid screening is in place.  Residents and relatives are kept informed of alert levels and visiting restrictions.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(via zoom) an infection control study day at the DHB, completed a MOH infection control coordinator training and completed Altura food safety module.   There are adequate resources to implement the infection control programme for the size and complexity of the organisation.  The infection control coordinator has good support from the clinical manager expertise within the Arvida Group at support office, the infection control nurse specialist at the DHB, laboratory, GPs, infection control NZ, public health,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to for the size and complexity of the service.  There are a comprehensive range of policies, standards and guidelines and includes responsibilities of the infection control team and training and education of staff.  The policies have been reviewed by the Arvida Group at support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Infection prevention and control competency (questionnaire and hand hygiene audit) is part of the staff orientation process.  There has been additional infection control education occur around Covid, alert levels, outbreak management and the correct use of personal protective wear.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Residents and relatives interviewed state they were kept well informed during Covid restrictions and lockdown.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database.  Surveillance of all infections is entered onto a monthly infection summary.  This data is monitored and analysed for trends monthly and annually.  The service receives a monthly email report from Path lab.  Information from surveillance data or education is used to identify if any resources, quality improvements or education is required.  Infection control goals include reduction of skin/wound and urinary tract infections. A multi-resistant organism (MRO) register is maintained.  There are three residents with community acquired MRO.   There has been one unconfirmed norovirus outbreak in January 2020.  Documentation sighted included notification to the public health and case logs.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The service has documented systems in place to ensure the use of restraint is actively minimised.  At the time of the audit there were five hospital residents with restraints (bed rails – one side only) and two residents with an enabler (bedrail – one side only).  Two resident files of those who use an enabler identified voluntary consent was given.  All necessary assessments and evaluations had been completed in relation to the enabler and restraints.  Restraint is discussed as part of quality, RN, and care staff meetings.  Staff receive training around restraint minimisation and the management of challenging behaviour is included in orientation and annually thereafter.  Staff complete a restraint competency.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restraint coordinator with a job description that outlines the responsibility of the role.  The restraint and quality team approve the use of restraint.   Assessment and approval process for restraint use included the restraint coordinator, registered nurses, resident/or representative and medical practitioner.  Restraint use is discussed at the RN and care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or senior RN completes assessments for residents who require restraint partnership with the family/whānau.  The restraint coordinator, the resident and/or their representative and a medical practitioner were involved in the assessment and consent process.  In the two resident files (with restraints) reviewed,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identifies that restraint is only put in place where it is clinically indicated and justified and approved by the clinical team and GP.  An assessment form/process is completed for all restraints.  The two resident files reviewed had a completed assessment form and a care plan that reflected risks involved with the use of restraint.   Monitoring forms were in place and competed at the documented frequency.  The service has a restraint register, which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completed by the restraint coordinator at least monthly or earlier if required.  A three-month review is undertaken with the GP at the three-monthly GP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three-monthly as part of the medical review with the resident/family/whānau as appropriate.  Restraint usage is monitored regularly by the restraint coordinator and includes criteria (a) to (h).  Restraint is discussed at the quality meetings.  Internal audits are completed, and corrective actions are developed and monitored as required. Individual resident restraint use is monitored and recorded by staff.  There have been no incidents/accidents related to restraint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1370"/>
        <w:gridCol w:w="92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Cascades resort has built up relationships with DHB key personnel and have several short-term stay contracts many of whom are complex needs.  The service has increased RN education specifically to meet complex needs.  The service has exceeded the standard around the provision of clinical care for complex short-stay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Over the last three years the village manager and clinical manager have built up relationships with DHB departments such as the portfolio manager and mental health services.  The management team developed a social network with the DHB teams and attended forums and training sessions offered.  The service implemented significant resources to provide best care for patients requiring short stay on discharge from the hospital located nearby.  The clinical manager has completed a postgraduate diploma and is a prescribing RN practitioner who can prescribe with primary and speciality teams (gerontology).  She completed her supervised prescribing year in 2020.  The clinical manager works closely with the visiting nurse practitioner and GPs.  The RNs have attended specific training and competencies completed around complex procedures including peritoneal dialysis, male catheterisation, syringe driver and other training related to individual residents.  Registered nurses attend gerontology and skills workshops at the DHB such as clinical assessment and decision making for nurses working with older people.  The facility has an AED defibrillator on site and all RNs have been trained and completed competency.  All RNs have completed annual medication competencies and have a current first aid certificate.  The number of RNs rostered on each duty ensures constant and consistent clinical oversight required for the short-stay residents under respite care, post-acute convalescence, or palliative care.  The clinical manager is on duty Monday to Friday mornings.  There is an RN/team leader on morning and afternoon shifts seven days with two RNs on the morning, afternoon, and night shifts.  For the past year from mid July 2020 to the present, there were 93 short-stay admissions (including 20 mental health admissions).  Of the 73 ‘other’ admissions 44% of total discharges home were respite care, 33% deceased during that 12-month period (end of life/palliative/complex) and 14% of residents admitted were assessed as ‘very complex’ care and included the following, for example Nephrostomy tube, four very end stage cancers (oral-pharyngeal, high risk of bleed) and Rocket drain.  A letter (sighted) was received from the DHB on the wonderful care at Cascades and acknowledging the significant resources put in place to accommodate high needs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complete induction and orientation specific to their role.  Student nurses complete a specific orientation to the facility prior to commencing their placement.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a preferred provider for nursing placements due to is close location to the DHB.  The provider has a good liaison with the DHB and holds the contract for post-acute convalescence care.  The complexity of residents both long-term and short stay provide the students an opportunity to learn and consolidate clinical assessment skills during their placement.  All students complete an induction with a welcome video, Code of Rights session, infection control responsibilities and Covid-19 alert levels and requirements.  Student nurses often stay on the casual pool as care staff or RNs after graduation.  A letter of recognition from the operations coordinator for Wintec was sighted.  Arvida Cascades were the 2020 recipient for ‘Best Nursing Placement Provider’.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Cascades Retirement Resort Limited - The Cascades Retirement Resort</w:t>
    </w:r>
    <w:bookmarkEnd w:id="58"/>
    <w:r>
      <w:rPr>
        <w:rFonts w:cs="Arial"/>
        <w:sz w:val="16"/>
        <w:szCs w:val="20"/>
      </w:rPr>
      <w:tab/>
      <w:t xml:space="preserve">Date of Audit: </w:t>
    </w:r>
    <w:bookmarkStart w:id="59" w:name="AuditStartDate1"/>
    <w:r>
      <w:rPr>
        <w:rFonts w:cs="Arial"/>
        <w:sz w:val="16"/>
        <w:szCs w:val="20"/>
      </w:rPr>
      <w:t>13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