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Bardowie Retirement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Bardowie Retirement Complex</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July 2021</w:t>
      </w:r>
      <w:bookmarkEnd w:id="7"/>
      <w:r w:rsidRPr="009418D4">
        <w:rPr>
          <w:rFonts w:cs="Arial"/>
        </w:rPr>
        <w:tab/>
        <w:t xml:space="preserve">End date: </w:t>
      </w:r>
      <w:bookmarkStart w:id="8" w:name="AuditEndDate"/>
      <w:r w:rsidR="00A4268A">
        <w:rPr>
          <w:rFonts w:cs="Arial"/>
        </w:rPr>
        <w:t>22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Bardowie Retirement Complex currently operates as a stage two (2) rest home and is situated on the main arterial highway leading into the city of Napier. The service is one of six facilities owned by Experion Care NZ Limited in Hawkes Bay and provides rest home care for up to 19 residents with the other room being used as the nurse manager's office. The service is operated by Experion Care NZ Limited and co-managed by two nurse managers. There were 18 residents at the time of the audit. Residents and families spoke positively about the care provided.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a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There were four areas identified requiring improvement during the audit and these relate to, human resources, service delivery, medication management systems, and a safe and appropriate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There is access to interpreting services if required. Staff provide residents and families with the information they need to make informed choices and give consent. </w:t>
      </w:r>
    </w:p>
    <w:p w:rsidRPr="00A4268A">
      <w:pPr>
        <w:spacing w:before="240" w:line="276" w:lineRule="auto"/>
        <w:rPr>
          <w:rFonts w:eastAsia="Calibri"/>
        </w:rPr>
      </w:pPr>
      <w:r w:rsidRPr="00A4268A">
        <w:rPr>
          <w:rFonts w:eastAsia="Calibri"/>
        </w:rPr>
        <w:t>The complaints process meets the requirements of consumer rights legislation. A complaints register has been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strategic and business plan, quality risk management plans include the scope, direction, goals, values, and mission statement of the organisation and this was for 2018-2022 period. Monitoring of the services provided to the management is regular and effective. An experienced and suitably qualified person manages the service. </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All stages of service provision were completed in a timely and competent manner. The Nurse Manager (NM) is responsible for completing nursing assessments and care plans with input from other healthcare providers as required. Planned activities are appropriate to the residents’ needs and abilities. InterRAI assessments were completed within required timeframes and the clinical assessment protocols (CAPs) were integrated with the care plan. The meal service meets the individual food, fluids, and nutritional needs of the residents. Residents with special dietary needs are catered for.</w:t>
      </w:r>
    </w:p>
    <w:p w:rsidRPr="00A4268A" w:rsidP="00621629">
      <w:pPr>
        <w:spacing w:before="240" w:line="276" w:lineRule="auto"/>
        <w:rPr>
          <w:rFonts w:eastAsia="Calibri"/>
        </w:rPr>
      </w:pPr>
      <w:r w:rsidRPr="00A4268A">
        <w:rPr>
          <w:rFonts w:eastAsia="Calibri"/>
        </w:rPr>
        <w:t>A safe medication management system is in place and meets legislative guidelines and policy requirements. The service uses an electronic medication system. All medication records had been reviewed within the past three months by the general practitioner.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Trial evacuations are conducted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are in use at the time of audit. Restraint is only used as a last resort when all other options have been explored. The use of enablers is voluntary and as the least restrictive option. Staff training on restraints/enablers and challenging behaviour was conducted.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infection control coordinator (ICC) is responsible for monitoring infections, surveillance of data, trends and implementing relevant strategies.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management policy and procedures in place that align with the Code. The service’s complaint register is detailed regarding dates, timeframes, complaints, and actions taken. All complaints sighted in the register had been resolved. There had been zero complaints in 2020 and one (1) complaint in 2021. This complaint required the involvement of the health and disability commission (HDC) and was resolved amicably. </w:t>
            </w:r>
          </w:p>
          <w:p w:rsidR="00EB7645" w:rsidRPr="00BE00C7" w:rsidP="00BE00C7">
            <w:pPr>
              <w:pStyle w:val="OutcomeDescription"/>
              <w:spacing w:before="120" w:after="120"/>
              <w:rPr>
                <w:rFonts w:cs="Arial"/>
                <w:b w:val="0"/>
                <w:lang w:eastAsia="en-NZ"/>
              </w:rPr>
            </w:pPr>
            <w:r w:rsidRPr="00BE00C7">
              <w:rPr>
                <w:rFonts w:cs="Arial"/>
                <w:b w:val="0"/>
                <w:lang w:eastAsia="en-NZ"/>
              </w:rPr>
              <w:t>Complaint’s information is used to improve services as appropriate. Quality improvements or trends identified are reported to the staff. Residents and families are advised of the complaints process on entry to the service. This includes written information about making complaints. Family/whanau interviewed describe a process of making complaints that includes being able to raise these at residents’ meetings, putting a complaint (which can be anonymous) in the suggestion box, or directly approaching staff or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 Personal, health, and medical information is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however staff know how to access interpreter services if required. Staff can provide interpretation as and when needed;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2018-2022 strategic and business plan documents describe annual and long-term objectives and the associated operational plans.  The strategic and business plan sighted included the scope, direction, goals, values, and mission statement of the organisation. The Co-Nurse Manager reported that the service was certified for 20 beds. Monthly reports to the executive director (owner) showed adequate information to monitor performance is reported including potential risks, contracts, human resource and staffing, growth and development, maintenance, quality management, and financial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co-managed by two part-time nurse managers, ensuring both onsite and after-hours registered nurse coverage. The nurse manager is supported by the executive director (owner). The management team meets on regular basis. All members of the management team are suitably qualified and maintain professional qualifications in management, finance, and clinical skills. Both nurse managers are registered nurses with current practising certificates and attend regular conferences conducted by the local district health board. The service is managed by nurse managers who have over 15 years’ experience and knowledge in the health sector. Responsibilities and accountabilities are defined in a job description and individual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(DHB), ministry of health (MOH) for the provision of rest home care, mental health, respite services, and long-term support chronic health conditions (LTS-CHC). There were 18 residents receiving services on the day of the audit. At the time of the audit, there were 16 residents assessed as requiring rest home level of care and two (2) LTS-CHC.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This includes management of incidents and complaints, internal and external audit programme, regular family/resident satisfaction surveys, monitoring of outcomes, clinical incidents, and accidents including infections surveillance.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to the executive director (owner) management team and staff meetings. The nurse managers’ report monthly to the executive director (owner). A quality and risk report is compiled and evidence of previous reports was sampled. Staff reported their involvement in quality and risk management activities through audit activities. Relevant corrective actions are developed and implemented to address any shortfalls. Resident and family satisfaction surveys are completed yearly and evidence of this was sighted.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process. Policies are based on best practices and are current. The document control system ensures a systematic and regular review process, referencing of relevant sources, approval, distribution, and removal of obsolete documents. These are managed by an external consultant who keeps the service updated on any recent changes. In the interview conducted. Staff confirmed that they have access to policies and procedures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managers described the process for the identification, monitoring, review, and reporting of risks and the development of mitigation strategies. The nurse managers are familiar with the Health and Safety at Work Act (2015) and have implemented requirements. Chemical safety data sheets are available. Calibration of medical equipment is conducted and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near-miss events on an accident/incident form. A sample of incident forms reviewed showed these were fully completed, incidents were investigated, action plans developed, and actions followed up promptly. Neurological observations are completed when a fall is unwitnessed or where a resident injures their head. Adverse events data is collated, analysed, and reported to the management, respectively. There is an open disclosure policy in place. Any communication with a family and general practitioner (GP) following adverse events and if there is any change in the resident’s condition, is recorded in residents’ records. Family/whanau and the GP interviewed confirmed they are notified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managers described essential notification reporting requirements, including for pressure injuries, police attending the facility, unexpected deaths, critical incidents, infectious disease outbreaks, and missing persons. They advised there have been no notifications of significant events made to the MOH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recruitment process includes reference checks, police vetting, and validation of qualifications and practicing certificates (APCs) where required. A sample of staff records reviewed confirmed the organisation’s policies are being consistently implemented and records are maintained. Staff orientation includes all necessary components relevant to the role. Staff reported that the orientation process prepared them adequately for their role.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has either completed or commenced a New Zealand Qualification Authority education programme to meet the requirements of the provider's agreement with the DHB. Staff training is being provided. There were six (6) Health care assistants (HCA’s) with level three and three (3) with career force training. Staff reported that they were currently receiving ongoing training to meet the needs of residents requiring rest home level of care. The other co-nurse manager is competent and maintains annual competency requirements to undertake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relating to completing staff appraisals annually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delivery, 24 hours a day, seven days a week. The service adjusts staffing levels to meet the changing needs of residents. An after-hours on-call roster is in place, with staff reporting that good access to advice is available when required. Care staff reported there was adequate staff available to complete the work allocated to them. Observations and review of a four-week roster cycle confirmed adequate staff cover has been provided, with staff replaced in any unplanned absence. All shifts have a staff member on duty with a current first aid certificate and the nurse managers cover during the day. The service has adequate staff to cover any increased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policies and procedures are aligned with legislation, guidelines, and best practice and are available to staff. The service uses an electronic medication prescribing and administration platform. All medication records contained a photograph of the resident with the allergy status completed. As required’ medications had indications and maximum doses and short courses medications had a start and finish date. There are no controlled drugs kept on the premises. All medication records had been reviewed within the past three months by the general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dispensed and delivered from a local pharmacy. All medications are checked by the registered nurse on arrival. Caregivers administer medication under the direction and delegation of the registered nurse. A medication round was observed, the principles of safe medication administration were followed. No residents were self-administering medication during the audit. A self-administration procedure is available, as is a self-administration competency test. Self-administration of medication is generally used for topical medications only. Medication training to the caregivers is provided annually by the NM/RN. Caregivers interviewed were aware of their scope of practice and stated they contacted the NM/RN on-call before administration of ‘as required’ medications.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open bottles of eye drops in use are dated and medication competencies for staff administering medicines are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on-site and served in dining rooms. The four weekly seasonal rotating menus have been reviewed by the registered dietitian and are valid. Diets are modified as required and the main cook interviewed confirmed awareness of dietary needs required by the residents. Alternative meal options are offered as required. The residents’ weights are monitored monthly, and supplements are provided to residents with identified weight loss issues. Snacks and drinks are available for residents who wake up during the night on a 24-hour period. The family/whanau interviewed acknowledged satisfaction with the food service. The kitchen was audited and registered under the food control plan; the current food plan certificate was sighted.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the long-term care plans address the assessed needs and desired goals/outcomes. Significant changes are reported in a timely manner and prescribed orders are carried out as confirmed in the medical notes. Progress notes are completed on every shift. The service has in place process of weekly handover review of all residents completed by the NM, evidence sighted . observations are completed and are up to date. Clinical supplies are adequate, suited to the levels of care provided, and in accordance with the residents’ needs,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implemented by the activity’s coordinator. Activities are resident focussed and appropriate for people at the rest home level. A weekly planner is posted on the notice boards that are accessible to residents in all wings of the facility. The activities provided take into consideration residents’ interests and abilities. There is a wide range of activities offered: including bingo; quiz; music sessions; walking groups; van outings art, craft, and various events celebrations. Activities reflect residents’ goals, ordinary patterns of life and include normal community activities. Individual, group activities and regular events are offered. There is a monthly budget set for activities, and this is utilised when needed. There is community involvement with external entertainers invited, and community groups. Attendance lists are completed daily, and documentation is maintained. Comprehensive activities assessment and activities plans were sighted in sample files. Evaluation of the individual activity plans is completed every six months, or when there is a significant change. Monthly residents’ meetings are conducted, and outcomes are implemented and communicated to family and residents. Residents and family members interviewed reported satisfaction with the activities programme. Residents were observed participating in a variety of activities on the days of the audit, and special event celebrations.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personalised and reflect interRAI assessments and re-assessments.   Activity plans are evaluated at least every six months and updated when there are any changes. The evaluations record how the resident is progressing towards meeting their goals and responses to interventions. Short-term care plans are developed when needed and signed and closed out when the short-term problem has been resolved. Initial care plans for long-term residents were evaluated by the registered nurses within three weeks of admission. Written evaluations reviewed, identified if the resident goals had been met or unmet.  The GP reviews the residents at least three monthly or earlier if required.  Ongoing nursing evaluations occur as indicated and are documented in the resident hard copy file. Improvement needed to ensure there is family involvement in the resident Care plan and related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 current building warrant of fitness was sighted, and it expires 1 June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Trial evacuations were not consistently completed every six months as required and the last fire drill was conducted in April 2020. Records of staff attendance are maintained. There is an approved emergency evacuation plan. An improvement is required to ensure trial evacuations are conducted as per policy and legislation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All infections are recorded in the residents’ files using the nosocomial infection data collection form. Infection data is collected, monitored, and reviewed monthly. The data is collated and analysed to identify any significant trends or common possible causative factors. Results of the surveillance data are shared with staff during shift handovers, at monthly staff meetings, and management meetings. Evidence of completed infection control audits was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 rates as they occur. The GP is informed within the required time frames when a resident has an infection and appropriate antibiotics are prescribed for all diagnosed infections. There has been no outbreak since the last audit. A pandemic plan is in place and adequate personal protective equipment was sighted. Staff, residents, and families are updated on regular Covid-19 latest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Bardowie Rest Home has restraint minimisation policies and procedures that document the risk assessment process, approvals, monitoring and communicate its commitment to restraint minimisation. The definition of restraint and enabler is clearly stated in the organisation’s restraint policy. A restraint register was sighted. On the day of the audit, no residents were using restraints and no residents were using enablers. Processes are in place if either is in use. The organisation’s policy states that approved methods of restraint and enablers are bed rails, lap belts, and harnesses. Interviewed staff demonstrated knowledge of the difference between an enabler and a restraint. The service advocates for the least restrictive method of restraint to be used, and the use of enablers be voluntary and the least restrictive option. Staff training on restraint/enabler and challenging behaviour was conducted.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0"/>
        <w:gridCol w:w="1280"/>
        <w:gridCol w:w="6762"/>
        <w:gridCol w:w="1470"/>
        <w:gridCol w:w="15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requires that staff appraisals are completed annually. Staff performance is monitored, and four (4) out of seven (7) annual performance appraisals were overdue for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(4) out of seven (7) staff appraisals were not completed according to policy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annual performance appraisals are completed as per policy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medication round was observed, the principles of safe medication administration were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Eye drops in use kept in medication trolly checked, Six of the eye drops in use have no opening date written on the eye drops bottle.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eye drops in use have no opening dates written on the eye drops bottle.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eye drops in use have opening dates written on the eye drops bottle.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policies and procedures are aligned with legislation, guidelines, and best practice and are available to staff. All medications are checked by the registered nurse on arrival. Caregivers administer medication under the direction and delegation of the registered nurse. No documented evidence of staff medication competencies was provided by staff on audit day. Medication competencies were not completed as per policy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were not completed as per policy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completed medication competencies.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personalised and reflect InterRAI assessments and re-assessments. Ongoing nursing evaluations occur as indicated and are documented in the resident hard copy file. The facility using a care plan form to be signed by the family when the care plan is approved/ reviewed, in addition to nursing staff to confirm resident /family involvement by completing the section in the care plan. There was no family signature on the care plan designated form, and nursing staff did not complete the resident/family involvement section on the care plan. There were no evidence residents/family involved in the care plan and related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residents/ family involved in the care plan and related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resident /family involved in the care plan and related reviews.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and legislation require that trial evacuations are conducted six-monthly. The last fire drill was conducted in April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Fire drills were not conducted as per policy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fire drills are completed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Bardowie Retirement Complex</w:t>
    </w:r>
    <w:bookmarkEnd w:id="58"/>
    <w:r>
      <w:rPr>
        <w:rFonts w:cs="Arial"/>
        <w:sz w:val="16"/>
        <w:szCs w:val="20"/>
      </w:rPr>
      <w:tab/>
      <w:t xml:space="preserve">Date of Audit: </w:t>
    </w:r>
    <w:bookmarkStart w:id="59" w:name="AuditStartDate1"/>
    <w:r>
      <w:rPr>
        <w:rFonts w:cs="Arial"/>
        <w:sz w:val="16"/>
        <w:szCs w:val="20"/>
      </w:rPr>
      <w:t>22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