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Te Whanau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Whanau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June 2021</w:t>
      </w:r>
      <w:bookmarkEnd w:id="7"/>
      <w:r w:rsidRPr="009418D4">
        <w:rPr>
          <w:rFonts w:cs="Arial"/>
        </w:rPr>
        <w:tab/>
        <w:t xml:space="preserve">End date: </w:t>
      </w:r>
      <w:bookmarkStart w:id="8" w:name="AuditEndDate"/>
      <w:r w:rsidR="00A4268A">
        <w:rPr>
          <w:rFonts w:cs="Arial"/>
        </w:rPr>
        <w:t>30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Te Whānau is part of the Bupa Group and is certified to provide rest home and hospital level of care for up to 65 residents.  On the day of audit there were 47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 xml:space="preserve">The service is managed by a care home manager who is an experienced registered nurse and has been in the role for eight years.  The manager is supported by a clinical manager who has been in the role for two years.  The management team and staff are supported by a Bupa regional operations manager, and a team of experienced staff. </w:t>
      </w:r>
    </w:p>
    <w:p w:rsidRPr="00A4268A">
      <w:pPr>
        <w:spacing w:before="240" w:line="276" w:lineRule="auto"/>
        <w:rPr>
          <w:rFonts w:eastAsia="Calibri"/>
        </w:rPr>
      </w:pPr>
      <w:r w:rsidRPr="00A4268A">
        <w:rPr>
          <w:rFonts w:eastAsia="Calibri"/>
        </w:rPr>
        <w:t xml:space="preserve">A robust organisational quality system is in place, the residents, relatives and the general practitioner spoke positively about the care provided at Bupa Te Whānau facility.  </w:t>
      </w:r>
    </w:p>
    <w:p w:rsidRPr="00A4268A">
      <w:pPr>
        <w:spacing w:before="240" w:line="276" w:lineRule="auto"/>
        <w:rPr>
          <w:rFonts w:eastAsia="Calibri"/>
        </w:rPr>
      </w:pPr>
      <w:r w:rsidRPr="00A4268A">
        <w:rPr>
          <w:rFonts w:eastAsia="Calibri"/>
        </w:rPr>
        <w:t xml:space="preserve">This certification audit identified that the service meets the health and disability standards.  </w:t>
      </w:r>
    </w:p>
    <w:p w:rsidRPr="00A4268A">
      <w:pPr>
        <w:spacing w:before="240" w:line="276" w:lineRule="auto"/>
        <w:rPr>
          <w:rFonts w:eastAsia="Calibri"/>
        </w:rPr>
      </w:pPr>
      <w:r w:rsidRPr="00A4268A">
        <w:rPr>
          <w:rFonts w:eastAsia="Calibri"/>
        </w:rPr>
        <w:t xml:space="preserve">There is a continuous improvement awarded around maintaining a restraint free environment.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Bupa Te Whānau endeavours to ensure that care is provided in a way that focuses on the individual, values residents' quality of life and maintains their privacy and choice.  Staff demonstrated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Cultural, religious and spiritual needs are respected.  There is evidence that residents and family are kept informed.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day-to-day operations.  Goals are documented for the service with evidence of regular reviews.  A quality and risk management programme is embedded in practice.  Corrective actions are implemented and evaluated where opportunities for improvements are identified.  Residents receive appropriate services from suitably qualified staff.  Human resources are managed in accordance with good employment practice.  An orientation programme is in place for new staff.  An education and training plan is implemented and includes in-service education and competency assessments.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Residents’ records reviewed provide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Residents’ files include at a minimum, three-monthly reviews by the general practitioner (GP).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 education and medicines competencies.  The medicines records reviewed included documentation of allergies and sensitivities and are reviewed at least three-monthly by the general practitioner.  </w:t>
      </w:r>
    </w:p>
    <w:p w:rsidRPr="00A4268A" w:rsidP="00621629">
      <w:pPr>
        <w:spacing w:before="240" w:line="276" w:lineRule="auto"/>
        <w:rPr>
          <w:rFonts w:eastAsia="Calibri"/>
        </w:rPr>
      </w:pPr>
      <w:r w:rsidRPr="00A4268A">
        <w:rPr>
          <w:rFonts w:eastAsia="Calibri"/>
        </w:rPr>
        <w:t xml:space="preserve">An integrated activities programme is implemented that meets the needs of aged care residents.  The programme includes community visitors and outings, entertainment and activities. </w:t>
      </w:r>
    </w:p>
    <w:p w:rsidRPr="00A4268A" w:rsidP="00621629">
      <w:pPr>
        <w:spacing w:before="240" w:line="276" w:lineRule="auto"/>
        <w:rPr>
          <w:rFonts w:eastAsia="Calibri"/>
        </w:rPr>
      </w:pPr>
      <w:r w:rsidRPr="00A4268A">
        <w:rPr>
          <w:rFonts w:eastAsia="Calibri"/>
        </w:rPr>
        <w:t>All food and baking is done on site.  Residents' nutritional needs are identified and documented.  Choices are available and are provided.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Ongoing maintenance issues are addressed.  Chemicals are stored safely throughout the facility.  Cleaning and maintenance staff are providing appropriate services.</w:t>
      </w:r>
    </w:p>
    <w:p w:rsidRPr="00A4268A">
      <w:pPr>
        <w:spacing w:before="240" w:line="276" w:lineRule="auto"/>
        <w:rPr>
          <w:rFonts w:eastAsia="Calibri"/>
        </w:rPr>
      </w:pPr>
      <w:r w:rsidRPr="00A4268A">
        <w:rPr>
          <w:rFonts w:eastAsia="Calibri"/>
        </w:rPr>
        <w:t xml:space="preserve">There are two shared bedrooms and on audit, one was vacant, and one had one person in.  The remainder are single.  Four rooms have their own ensuite, the balance have a shared ensuite.  There is sufficient space to allow the movement of residents around the facility using mobility aids.  There are a number of small lounge and dining areas throughout the facility in addition to its main communal areas.  The internal areas are able to be ventilated and heated.  The outdoor areas are safe and easily accessible. </w:t>
      </w:r>
    </w:p>
    <w:p w:rsidRPr="00A4268A">
      <w:pPr>
        <w:spacing w:before="240" w:line="276" w:lineRule="auto"/>
        <w:rPr>
          <w:rFonts w:eastAsia="Calibri"/>
        </w:rPr>
      </w:pPr>
      <w:r w:rsidRPr="00A4268A">
        <w:rPr>
          <w:rFonts w:eastAsia="Calibri"/>
        </w:rPr>
        <w:t>There is an emergency management plan in place and adequate civil defence supplies in the event of an emergency.  There is an approved evacuation scheme and emergency supplies for at least three days.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in place that states the organisation’s philosophy to restraint minimisation.  Bupa Te Whānau is restraint free and has no residents using enablers.  The care home manager is the restraint coordinator for the facility.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There is a suite of organisational infection control policies and guidelines to support practice.  Information obtained through surveillance is used to determine infection control activities and education needs within the facility.  The infection control coordinator is responsible for the collation of infections and orientation and education for staff.  There were two outbreaks in 2019 which were well managed and appropriate authorities were notified.</w:t>
      </w: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2"/>
        <w:gridCol w:w="1280"/>
        <w:gridCol w:w="96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relating to the Code is implemented and staff could describe how the Code is incorporated in their everyday delivery of care.  The Health and Disability Commissioner (HDC) Code of Health and Disability Services Consumers' Rights (the Code) poster is displayed in a visible location at the entrance of the facility.  Staff receive training about the Code during their induction to the service, which continues through in-service education and training (last held in May 2021).  Interviews with staff (eight caregivers, four registered nurses (RN), one clinical coordinator, one diversional therapist, one cook, one laundry person, one cleaner, one maintenance person, the clinical manager and care home manager), reflected their understanding of the key principles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Completed resuscitation treatment plan forms were evident in all seven resident files reviewed (four hospital including one ACC resident and three rest home).  General consent forms were evident in the seven files reviewed.  Discussions with staff confirmed that they are familiar with the requirements to obtain informed consent for personal care, entering rooms and so on.  Enduring power of attorney evidence is sought prior to admission, and activation documentation is obtained, and both are filed with the admission agreements.  Where legal processes are ongoing to gain EPOA, this is recorded, as are letters of request to families for the supporting documentation.  Residents interviewed confirmed that consent was obtained before undertaking any care or treatment.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National Health and Disability Advocacy service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and there was evidence that they had done so.  Training around abuse and neglect was last completed in May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and relative meetings are held two-monthly.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local kindy, school and college students visit the facility regularly and local churches provide church services.  One resident goes home for the day each day, another resident attends their church on a Sunday with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received is maintained by the care home manager using an electronic complaints’ register on the RiskMan system.  Documentation including follow-up letters/emails and resolution demonstrates that complaints are being managed in accordance with guidelines set forth by the Health and Disability Commissioner (HDC).  Discussions with residents and relatives confirmed they were provided with information on complaints and complaints forms.  Complaints forms and a suggestion box are placed at reception.  There were six complaints made in 2018, eight in 2019, ten in 2020, and two year to date in 2021.  A random sample of ten complaints were reviewed across the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reviewed reflected evidence of responding to the complainants in a timely manner with appropriate follow-up actions taken.  The complaints reviewed were signed off by the care home manager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the front entrance.  A manager discusses aspects of the Code with residents and their family on admission.  Five residents (two rest home and three hospital level) and three relatives (hospital) interviewed, reported that the residents’ rights are being upheld by the service.  Interviews with residents and family also confirmed their understanding of the Code and its application to aged residential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implemented around respecting residents’ privacy, and treating residents with respect, while promoting independence.  Residents interviewed reported they are treated with dignity and respect, their privacy is ensured, and independence is encouraged and supported.  Discussions with residents and relatives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The care home manager is the privacy officer.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could fluently describe how they respect residents’ privacy and encourage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At the time of the audit there were three residents who identified as Māori.  All resident files identified cultural and spiritual preferences and affiliations (where identified).  There are links with Muaupoko Tribal Authority, who are happy to assist with spiritual and cultural advice for Māori residents.  The residents who reside at Te Whānau who identify as Māori have been invited to attend events.  There is also access to the Mid Central DHB cultural advisor.  Staff receive education on cultural awareness during their induction to the service and as a regular in-service topic at the study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resident’s plan of care, which included the identification of individual values and beliefs.  All care plans reviewed included the resident’s spiritual and cultural needs and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boundaries are defined in job descriptions.  A staff code of conduct is discussed during the new employee’s induction to the service and is signed by the new employee.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  Caregivers are trained to provide a supportive relationship based on sense of trust, security and self-esteem.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7 days a week, 24 hours a day.  The service is in the process of changing providers for GP services.  The GP interviewed was satisfied with the level of care that is being provided.  Physiotherapy services are provided on site as required.  A dietitian is also available on a referral basis.  A podiatrist is on site every three months.  There is a regular in-service education and training programme for staff.  The service has links with the local community and encourages residents to remain independent.  Bupa has established benchmarking groups for all services provided.  Bupa Te Whānau are benchmarked against the rest home and hospital services data.  If the results are above the benchmark, a corrective action plan is developed by the service.  Current correction plans include (but are not limited to); frail skin, skin tears, falls and bruising.  In 2020, the service worked towards reducing medication errors by 10%, education was provided, medication competencies and administration practices were reviewed.  The service has reduced medication errors by 30%.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Accident/incident forms (electronic) have a section to indicate if next of kin have been informed (or not) of an accident/incident.  Twelve accident/incident forms reviewed identified family are kept informed.  Relatives interviewed stated that they are kept informed when their family member’s health status changes.  An interpreter policy and contact details of interpreters is available.  Interpreter services are used where indicated.  At present family interpret for a resident who speaks limited English.  They also utilise Chinese resident-flash cards.  One staff member talks the same language, and family also assist with interpreting.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Ministry of Health ‘Long-term Residential Care in a Rest Home or Hospital – what you need to know’ is provided to residents on entry.  The residents and family are informed prior to entry of the scope of services and any items they are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Te Whānau Rest Home &amp; Hospital provides hospital (geriatric and medical) and rest home level care for up to 65 residents.  There are 47 hospital beds including 10 dual-purpose beds and 18 rest home beds.  On the days of audit there were 15 rest home level residents and 32 hospital level residents including two residents funded by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Progress towards the achievement of annual goals for the facility have been reviewed by the care home manager.  The annual goals for 2021 have been developed and communicated to staff.  Quality goals for the year include reduction of falls and injuries.  The falls focus group meet monthly to analyse resident falls and put corrective action plans in place (where possible) to prevent falls.  Goals for 2020 were reviewed and have been achieved.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is a registered nurse (RN) and has been in the role since 2013.  She is supported by a clinical manager (RN) who has been in her role for two years.  They are supported by a clinical coordinator, a team of registered nurses and caregivers.  The care home manager is currently supporting a sister facility (two half days a week and more if needed); therefore, the clinical coordinator has been appointed to support the management team.  The care home manager reports they continue to enjoy a fairly stable team of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assistant manager are supported by a Bupa regional manager.  Both the care home manager and the clinical manager have completed at least eight hours of professional development.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care home manager, the Bupa relieving facility manager or clinical manager supported by the regional operations manager, covers the care home manager’s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Bupa regional operations manager.  Discussions with the managers and staff reflected staff involvement in quality and risk management processes.  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infection rates, complaints received, restraint minimisation and strategies, pressure injuries, wounds and medication errors.  Quality and risk data, including trends in data and benchmarked results are discussed in the quality and applicable staff meetings.  An annual internal audit schedule was sighted for the service with evidence of internal audits occurring as per the audit schedule.  Corrective actions are established, implemented and are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satisfaction survey for 2020 evidenced an overall increase in satisfaction of +50/100 from 2019, however, on reviewing the overall satisfaction, there has been a slight reduction in satisfaction across the board from 2019.  On discussion with the care home manager, the increase in satisfaction evidenced in the final score may have been to a higher return of surveys.  Overall, 46% of respondents would recommend the facility, 64% feel at home, 71% felt safe and secure and 71% felt comfortable raising feedback.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Health and Safety Committee.  The health and safety officer (care home manager) was interviewed about the health and safety programme.  The health and safety officer has completed external training around health and safety at work.  Risk management, hazard control and emergency policies and procedures are in place and adhered to.  Hazard identification forms and a hazard register are in place in each area and has been reviewed annually, and when new hazards are added.  There are procedures to guide staff in managing clinical and non-clinical emergencies.  All new staff and contractors undergo a health and safety orientation programme.  Ongoing training around health and safety is included in the annual education planner.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falls focus group meet monthly.  Each fall and resident are analysed to identify trending and contributing factors of falls in a bid to prevent future falls.  Fall strategies implemented are the use of hip protectors, referrals to the physiotherapist, assessing residents’ shoes to ensure they fit properly, reducing clutter and trip hazards, utilising sensor mats, increasing checks on residents and raising staff, relatives and resident awareness around falls.  An assessment is carried out to ensure residents are safe when using motor scooters.  Data evidences a slight reduction of falls for rest home level residents, however, there is a slight rise in falls around hospital level residents largely due to independent residents who have been identified as frequent fallers.  Relatives and the residents have been fully involved in care planning and fall prevention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(electronic) are completed for each incident/accident with immediate action noted and any follow-up action(s) required.  Twelve accident/incident (six rest home and six hospital) forms were reviewed.  Each event involving a resident reflected a clinical assessment and follow-up by a registered nurse, and relatives’ notification had been completed.  Neurological observations have been conducted for unwitnessed falls.  Data collected on incident and accident forms are linked to the quality management system.  Opportunities (where possible) were identified and implemented.  The clinical manager reviews and signs off each electronic incident report.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are aware of their requirement to notify relevant authorities in relation to essential notifications.  There have been five section 31 notifications made since the previous audit for pressure injuries, one call bell failure, and a controlled drug medication incident.  Notifications were made in a timely manner for two outbreaks (one norovirus in October 2019 and one influenza in August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Eight staff files reviewed (one clinical manager, one RN, three caregivers, one diversional therapist, one housekeeper and one cook included a recruitment process (interview process, reference checking and police check for more recently employed),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There is an implemented annual education and training plan that exceeds eight hours annually.  There is an attendance register for each training session and an individual staff member record of training.  Staff are required to complete written core competencies during their induction.  Two days of education topics is held, which includes all compulsory education sessions one clinical education day which includes (but is not limited to); challenging behaviour, falls prevention aging process, and medications.  The essentials day, topics include (but not limited to): resident rights, incident reporting feedback and complaints.  This study day is available to ensure all staff are able to attend.  ‘Toolbox’ sessions are also held frequently as new issues arise, this included education around Covid-19 precautions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There are eleven RNs, six including the clinical manager have completed interRAI training.  There are a number of implemented competencies for registered nurses including (but not limited to) medication competencies first aid, infection control and wound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to complete New Zealand Qualifications Authority (NZQA) through Careerforce, currently there are seven caregivers who have completed level 2, ten who have completed level 3 and three who have completed level 4.  There is a Careerforce assessor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62 staff employed at Bupa Te Whānau.  There is an organisational staffing policy that aligns with contractual requirements and includes skill mixes.  Bupa Te Whānau has a roster in place, which ensures there are adequate staffing levels to meet the acuity and safety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care home manager and clinical manager and the clinical manager from a sister facility who shares on call.  The care home manager and clinical manager works Monday - Friday.  There are two registered nurses on duty on each morning and afternoon and one registered nurse on duty overnight.  Registered nurses are supported by sufficient numbers of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15 rest home and 32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morning shift has seven caregivers rostered: 6x 7 am to 3 pm and 1x 7 am to 3.15 pm.  </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seven caregivers rostered: 3x 3 pm to 11 pm, 3x 3 pm to 9 pm, and 1x 4 pm to 9 pm.</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with the registered nurse on duty overnight.  All RNs have current first aid certificates.  The residents, relatives and staff interviewed stated they felt there were adequate staff on duty.  Residents stated they felt their calls bells were answered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 staff and registered nurses.  Electronic systems used (interRAI and RiskMan)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overarching Bupa policies and procedures to safely guide service provision and entry to services, including an admission policy.  Information gathered on admission is retained in residents’ records.  Relatives interviewed stated they were well informed upon admission.  The service has a well-developed information pack available for residents/families/whānau at entry.  The admission agreement reviewed aligns with the services contracts.  Seven admission agreements viewed were signed.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(a ‘pink envelope system is used).  All appropriate documentation and communication was completed.  Transfer to the hospital and back to the facility post-discharge, was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An RN checks all medications on delivery against the medication and any pharmacy errors recorded and fed back to the supplying pharmacy.  All medications were securely and appropriately stored.  The medication fridge and treatment room temperature has been recorded daily and these were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and senior caregivers responsible for the administering of medications have completed annual medication competencies and annual medication education.  Caregivers who act as second checker have also completed medication competencies.  The service uses an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reviewed (six rest home, eight hospital).  Photo identification and allergy status were on all fourteen charts.  All medication charts had been reviewed by the NP/GP at least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rest home residents self-administering medications at the time of audit.  Two were self-administering their ointment and one administering an inhaler and nitrolingual spray.  All three had three monthly competency checks and medications were stored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the food services and is supported by kitchen staff on duty each day.  The national four weekly summer/winter menus have been audited and approved by an external dietitian (March 2021).  All baking and meals are cooked on site in the main kitchen.  Meals are delivered in a bain-marie to the two rest home kitchenettes where they are served, and the main hospital dining room is served directly from the kitchen.  The kitchen manager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are recorded on each meal daily.  Serving temperatures from a bain marie are monitored.  Temperatures are recorded on all chilled and frozen food deliveries.  Fridges (including facility fridges) and freezer temperatures are monitored and recorded daily.  All foods are dated in the chiller, fridges and freezers.  Dry goods are stored in dated sealed containers.  Chemicals are stored safely.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Food services staff have completed on site food safety education and chemical safety.  All food service staff hold national food safety qualifications.  The food control plan expires September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had been considerable focus on resident satisfaction with the meals.  Feedback boxes, along with pen and paper, had been placed in the dining rooms.  The boxes were emptied weekly with feedback to kitchen staff.  A number of changes were made as a result of the feedback including: savoury morning teas, sweet afternoon teas, white or cheese sauce being served with broccoli and cauliflower, gravy jugs with sauces for residents to add as they wished and new salt and pepper shakers.  Currently changes were being made to the presentation of moulied food – it is now presented in shapes created by moulds.  Residents were appreciative of the response to their suggestions and residents and relatives spoke very highly of the standard of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back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assessment booklets on admission, and care plan templates were completed for all the resident files reviewed.  InterRAI initial assessments and assessment summaries were evident in printed format in all files.  Files reviewed across the service identified that risk assessments have been completed on admission and reviewed six-monthly as part of the evaluation.  Additional assessments for management of behaviour and wound care were completed according to need.  For the resident files reviewed, formal assessments and risk assessments were in place and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care plans sampled documented support needs and interventions.  Residents and family members interviewed confirmed they are involved in the development and review of care plans.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wounds and infections and were evaluated on a regular basis and signed off as resolved or transferred to the long-term care plan.  There was evidence of service integration with documented input from a range of specialist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reported their needs were being met.  There was documented evidence of relative contact.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and short-term care plans were in place for all wounds.  All wound care plans included a short-term care plan and written progress notes to assist review and evaluation of the wound.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stage 3 facility acquired pressure injury (section 31 notification had been made), one grade 2 and four grade 1 pressure injuries being managed at the time of audit.  Evidence of GP, dietitian, physiotherapist, and wound care nurse specialist input into wound care was documented in resident files.  When a resident had a number of wounds, each wound had separate documentation evidencing assessment, wound plan and evaluation and recommendations made were evidenced to be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in use;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is led by an experienced diversional therapist who works 35 hours per week, Tuesday to Saturday.  The second member of the team, an activities assistant works two days on, four days off.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integrated programme for rest home and hospital level of care residents takes place in both areas.  There are resources available for care staff to use for one-on-one time with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or soon after admission, the family/resident completes a Map of Life, which includes previous hobbies, community links, family, and interests.  A social history is taken and information from this is fed into the ‘My way, My day’ plan and this is incorporated into the long-term care plan and is reviewed six-monthly as part of the care plan review/evaluation.  A record is kept on individual resident’s activities.  There are recreational progress notes in the resident’s file that the diversional therapist completes for each resident every month.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van which is used for outings.  The diversional therapist and a caregiver accompany residents on outings.  The diversional therapist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residents interviewed reported that there is a wide variety of activities provided including exercises, entertainment, outings, quizzes, craft, walks and church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six monthly or sooner if the residents condition indicated.  Caregivers have input into this evaluation via a three-day data collection form given to them by the RN.  The multidisciplinary review involves the RN, GP/NP, physiotherapist, diversional therapist and resident/family.  The family are notified of the outcome of the review if unable to attend.  There is at least a three-monthly review by the medical practitioner/nurse practitioner.  The family members interviewed confirmed they are invited to have input into reviews.</w:t>
            </w:r>
          </w:p>
          <w:p w:rsidR="00EB7645" w:rsidRPr="00BE00C7" w:rsidP="00BE00C7">
            <w:pPr>
              <w:pStyle w:val="OutcomeDescription"/>
              <w:spacing w:before="120" w:after="120"/>
              <w:rPr>
                <w:rFonts w:cs="Arial"/>
                <w:b w:val="0"/>
                <w:lang w:eastAsia="en-NZ"/>
              </w:rPr>
            </w:pPr>
            <w:r w:rsidRPr="00BE00C7">
              <w:rPr>
                <w:rFonts w:cs="Arial"/>
                <w:b w:val="0"/>
                <w:lang w:eastAsia="en-NZ"/>
              </w:rPr>
              <w:t>Written evaluations describe the resident’s progress against the resident’s identified goals.  InterRAI assessments have been utilised in conjunction with the six-monthly reviews.  Short-term care plans for short-term needs were evaluated and either resolved or added to the long-term care plan as an ongoing problem.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There was evidence of where a resident’s condition had changed, and the resident was reassessed for a higher or different level of care.  Discussion with the clinical manager and RNs identified that the service has access to a wide range of support either through the GP, Bupa specialists and contracted allied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certificate is posted at the entrance to the facility which expires 25 August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Reactive maintenance and a 52-week planned maintenance schedule is in place that has been maintained.  There is a maintenance person employed, who works three days per week and provides after hours on-call cover for any maintenance issues.  The hot water temperatures are monitored weekly and maintained between 43-45 degrees Celsius (the site is moving to electronically recording these records).  There are contractors for essential service available 24/7.  Equipment is checked monthly by the maintenance person and calibrated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with handrails and promote safe mobility with the use of mobility aids and transferring equipment.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are well maintained.  There is outdoor furniture and shaded areas.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that they have all the equipment referred to in care plans necessary to provide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refurbishment of some bedrooms had been undertaken and is continuing as they become vacant.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communal toilets located near to bedrooms and the communal areas.  Bathrooms are spacious and can accommodate the use of a shower trolley and any mobility equipment.  All rooms except two have either an ensuite or shared ensuite.  The two without ensuites are immediately adjacent to a toilet.  There is appropriate signage, easy clean flooring and fixtures and handrails appropriately placed.  Residents interviewed reported their privacy is maintained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Privacy locks are installed on all toilet and shower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majority of rooms are single.  There are two double rooms (on audit one had one person in it the other was vacant).  Rooms are spacious enough to manoeuvre transferring and mobility equipment to safely deliver care.  There are 18 dedicated rest home beds and 47 hospital beds.  Ten of the hospital beds are dual-purpose which can be used to provide rest home or hospital level care.  Residents are encouraged to personalise their bedrooms as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lounges in the hospital and rest home area.  Each area also has a kitchenette and open plan dining area.  All lounge/dining rooms are accessible and accommodate the equipment required for the residents.  Residents are able to move freely, and furniture is well arranged to facilitate this.  Seating and space is arranged to allow both individual and group activities to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completed on site.  There are designated clean and dirty areas in the laundry with separate entrance and exit doors.  Laundry and cleaning audits are completed as part of the internal audit programme.  The laundry and cleaning rooms are designated areas and clearly labelled.  Chemicals are stored in locked rooms.  All chemicals are labelled with manufacturer’s labels.  There are two sluice rooms for the disposal of soiled water or waste.  These are locked when unattended.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staff.  Cleaning trolleys are well equipped and stored safely when not in use.  Residents and relatives interviewed reported that they were satisfied with the laundry and cleaning services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continuity plan, and a pandemic plan in place to guide staff in managing emergencies and disasters.  Fire safety and emergency response scenarios are included in the mandatory in-service programme.  Staff are orientated to where the shut off valves are for the gas and water.  There is a first aid trained staff member on every shift.  The facility has an approved fire evacuation plan and fire drills occur six-monthly.  The last fire drill occurred in January 2021.  Smoke alarms, sprinkler system and exit signs are in place.  Supplies of stored water and food are held on site and are adequate for three days.  The service has alternative gas facilities for cooking and in the event of a power failure, a backup system for emergency lighting and power banks are available.  There are civil defence kits in the facility.  Call bells are evident in residents’ rooms, lounge areas and toilets/bathrooms.  The facility is secured at night and security patrols are conducted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 in individual resident rooms is able to be adjusted to meet resident’s preference or seasonal changes.  All communal rooms and bedrooms are well ventilated and light.  Residents and family interviewed stated the temperature of the facility is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infection prevention and control programme which is appropriate for the size and complexity of the service.  An infection control coordinator (clinical manager) is responsible for infection control across the facility.  A job description outlines the role and responsibilities.  The infection control coordinator provides monthly reports to head office, the care home manager and to quality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set out annually from head office and directed via the quality programme.  The programme is reviewed annually by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visitors and contractors are required to sign in and on the day of the audit, the facility was in level 2 restrictions, therefore all visitors and contractors in the facility had to wear masks.  Residents and staff are offered the annual influenza vaccine.  There are adequate hand sanitisers and signage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online DHB and Bupa infection control education and attends the Bupa infection control meetings.  During Covid-19 there has been regular information from head office.  The facility has access to an infection control nurse specialist through the DHB, public health, GPs, local laboratory and expertise from within the Bupa company.  There is an outbreak management cupboard and ample stock of personal protective equipment that is checked and signed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 standards, legislation and good practice.  These policies are developed by head office and reviewed annually.  There is resource information and plans around Covid-19 from head office and from the facility.  The resource folders are easily accessible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is provided at orientation and as part of the annual training schedule.  All staff complete hand hygiene audits.  In-services have been provided around personal protective equipment (PPE) and outbreak management and there has been particular emphasis on this since Covid-19.  Any new communication regarding Covid-19 is relayed to staff regarding meetings, noticeboards and at handovers.  There is a kit made up where staff practice infection control/Covid-19 scenarios and discuss how to best manage these, including donning and doffing PPE.  Resident education occurs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sent to head office and discussed with the care home manager and at quality and staff meetings.  Meeting minutes are available to staff.  Trends are identified, analysed and preventative measures put in place.  Systems in place are appropriate to the size and complexity of the facility.  Benchmarking against other Bupa facilities occurs.  Bupa Te Whānau are consistently under benchmark for all infections.  There was one Norovirus and an influenza outbreak in 2019.  The outbreaks were reported to the appropriate authorities correctly.  There have been no other outbreaks since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policy in place that states the organisation’s philosophy to restraint minimisation.  There is a documented definition of restraint and enablers, which is congruent with the definition in NZS 8134.0.  The care home manager is the restraint coordinator.  The facility gained the restraint free status in April 2020.  There are no residents using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22"/>
        <w:gridCol w:w="1280"/>
        <w:gridCol w:w="1114"/>
        <w:gridCol w:w="98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achieved the restraint free status in April 2020 following a period of six months with having no residents using restraints.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achieved the restraint free status in April 2020 following a period of six months with having no residents using restraints.  The facility has been monitoring the numbers of restraints used since 2017, where they had five restraints (the highest number they have had).  During a previous audit, it was identified there were two unauthorised restraints in place.  Education was provided to staff and families around the use of restraints in particular the use of bedrails.  Any beds with bedrails fitted had the rails secured so they could not be used.  They have implemented perimeter guards for residents who are restless overnight.  Restraint competencies are completed by all staff to raise awareness.  All new residents and relatives requesting bedrails are provided with the ‘making decisions about restraint’ booklet, which provides information around making decisions around restraint, myths and evidence and restraint management.  Discussions are held with the restraint coordinator (care home manager) around using all other interventions prior to using restraints.  The registered nurses and caregivers were proud to provide information around being restraint free during interviews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Te Whanau Rest Home &amp; Hospital</w:t>
    </w:r>
    <w:bookmarkEnd w:id="58"/>
    <w:r>
      <w:rPr>
        <w:rFonts w:cs="Arial"/>
        <w:sz w:val="16"/>
        <w:szCs w:val="20"/>
      </w:rPr>
      <w:tab/>
      <w:t xml:space="preserve">Date of Audit: </w:t>
    </w:r>
    <w:bookmarkStart w:id="59" w:name="AuditStartDate1"/>
    <w:r>
      <w:rPr>
        <w:rFonts w:cs="Arial"/>
        <w:sz w:val="16"/>
        <w:szCs w:val="20"/>
      </w:rPr>
      <w:t>29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