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Onewa Hospital and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Onewa Hospital and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June 2021</w:t>
      </w:r>
      <w:bookmarkEnd w:id="7"/>
      <w:r w:rsidRPr="009418D4">
        <w:rPr>
          <w:rFonts w:cs="Arial"/>
        </w:rPr>
        <w:tab/>
        <w:t xml:space="preserve">End date: </w:t>
      </w:r>
      <w:bookmarkStart w:id="8" w:name="AuditEndDate"/>
      <w:r w:rsidR="00A4268A">
        <w:rPr>
          <w:rFonts w:cs="Arial"/>
        </w:rPr>
        <w:t>16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CHT Onewa is owned and operated by the CHT Healthcare Trust and cares for up to 67 residents requiring hospital and rest home level care.  On the day of the audit, there were 55 residents.</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staff, management and nurse practitioner.  </w:t>
      </w:r>
    </w:p>
    <w:p w:rsidRPr="00A4268A">
      <w:pPr>
        <w:spacing w:before="240" w:line="276" w:lineRule="auto"/>
        <w:rPr>
          <w:rFonts w:eastAsia="Calibri"/>
        </w:rPr>
      </w:pPr>
      <w:r w:rsidRPr="00A4268A">
        <w:rPr>
          <w:rFonts w:eastAsia="Calibri"/>
        </w:rPr>
        <w:t>The unit manager (registered nurse) is an experienced manager and was appointed February 2019.  She is supported by an experienced clinical coordinator, an area manager and registered nurses.  The healthcare assistants are long serving.  Residents, relatives and nurse practitioner interviewed spoke positively about the service.</w:t>
      </w:r>
    </w:p>
    <w:p w:rsidRPr="00A4268A">
      <w:pPr>
        <w:spacing w:before="240" w:line="276" w:lineRule="auto"/>
        <w:rPr>
          <w:rFonts w:eastAsia="Calibri"/>
        </w:rPr>
      </w:pPr>
      <w:r w:rsidRPr="00A4268A">
        <w:rPr>
          <w:rFonts w:eastAsia="Calibri"/>
        </w:rPr>
        <w:t xml:space="preserve">This audit has not identified any areas for improvement. </w:t>
      </w:r>
    </w:p>
    <w:p w:rsidRPr="00A4268A">
      <w:pPr>
        <w:spacing w:before="240" w:line="276" w:lineRule="auto"/>
        <w:rPr>
          <w:rFonts w:eastAsia="Calibri"/>
        </w:rPr>
      </w:pPr>
      <w:r w:rsidRPr="00A4268A">
        <w:rPr>
          <w:rFonts w:eastAsia="Calibri"/>
        </w:rPr>
        <w:t xml:space="preserve">There service has exceeded the standard around restraint minimisation.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Staff at CHT Onewa strive to ensure that care is provided in a way that focuses on the individual, values residents' autonomy and maintains their privacy and choice.  The personal privacy and values of residents are respected.  Cultural needs of residents are met.  Care plans accommodate the choices of residents and/or their family/whānau.  Discussions with residents and relatives confirmed that residents and where appropriate their families are involved in care decisions.  </w:t>
      </w:r>
    </w:p>
    <w:p w:rsidRPr="00A4268A">
      <w:pPr>
        <w:spacing w:before="240" w:line="276" w:lineRule="auto"/>
        <w:rPr>
          <w:rFonts w:eastAsia="Calibri"/>
        </w:rPr>
      </w:pPr>
      <w:r w:rsidRPr="00A4268A">
        <w:rPr>
          <w:rFonts w:eastAsia="Calibri"/>
        </w:rPr>
        <w:t>Policies are implemented to support residents’ rights, communication and complaints management.</w:t>
      </w:r>
    </w:p>
    <w:p w:rsidRPr="00A4268A">
      <w:pPr>
        <w:spacing w:before="240" w:line="276" w:lineRule="auto"/>
        <w:rPr>
          <w:rFonts w:eastAsia="Calibri"/>
        </w:rPr>
      </w:pPr>
      <w:r w:rsidRPr="00A4268A">
        <w:rPr>
          <w:rFonts w:eastAsia="Calibri"/>
        </w:rPr>
        <w:t xml:space="preserve">Regular contact is maintained with families including if a resident is involved in an incident or has a change in their current health.  Families and friends are able to visit residents at times that meet their needs.  Examples of good practice were provided.  </w:t>
      </w:r>
    </w:p>
    <w:p w:rsidRPr="00A4268A">
      <w:pPr>
        <w:spacing w:before="240" w:line="276" w:lineRule="auto"/>
        <w:rPr>
          <w:rFonts w:eastAsia="Calibri"/>
        </w:rPr>
      </w:pPr>
      <w:r w:rsidRPr="00A4268A">
        <w:rPr>
          <w:rFonts w:eastAsia="Calibri"/>
        </w:rPr>
        <w:t xml:space="preserve">There is an established system for the management of complaints, which meets guidelines established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quality and risk management programme includes service philosophy, goals and a quality planner.  Quality and risk data is collected, analysed and discussed, and changes made as a result of trend analysis.  Corrective actions are implemented and evaluated where opportunities for improvements are identified.  Meetings are held to discuss quality and risk management processes.  Health and safety policies, systems and processes are implemented to manage risk.</w:t>
      </w:r>
    </w:p>
    <w:p w:rsidRPr="00A4268A">
      <w:pPr>
        <w:spacing w:before="240" w:line="276" w:lineRule="auto"/>
        <w:rPr>
          <w:rFonts w:eastAsia="Calibri"/>
        </w:rPr>
      </w:pPr>
      <w:r w:rsidRPr="00A4268A">
        <w:rPr>
          <w:rFonts w:eastAsia="Calibri"/>
        </w:rPr>
        <w:t xml:space="preserve">Residents’ meetings have been held and residents and families are surveyed annually.  Incidents and accidents are reported and followed through.  </w:t>
      </w:r>
    </w:p>
    <w:p w:rsidRPr="00A4268A">
      <w:pPr>
        <w:spacing w:before="240" w:line="276" w:lineRule="auto"/>
        <w:rPr>
          <w:rFonts w:eastAsia="Calibri"/>
        </w:rPr>
      </w:pPr>
      <w:r w:rsidRPr="00A4268A">
        <w:rPr>
          <w:rFonts w:eastAsia="Calibri"/>
        </w:rPr>
        <w:t xml:space="preserve">A comprehensive education and training programme has been implemented with a current plan in place.  Appropriate employment processes are adhered to and all employees have an annual staff appraisal completed.  Registered nursing cover is provided 24 hours a day, 7 days a week.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 registered nurse is responsible for the provision of care and documentation at every stage of service delivery.  There is sufficient information gained through the initial support plans, specific assessments, discharge summaries, and the care plans to guide staff in the safe delivery of care to residents.  The care plans are resident, and goal orientated and evaluated every six-months or earlier if required with input from the resident/family as appropriate.  Allied health and a team approach are evident in the resident files reviewed.  The general practitioner/nurse practitioner reviews residents at least three-monthly.  </w:t>
      </w:r>
    </w:p>
    <w:p w:rsidRPr="00A4268A" w:rsidP="00621629">
      <w:pPr>
        <w:spacing w:before="240" w:line="276" w:lineRule="auto"/>
        <w:rPr>
          <w:rFonts w:eastAsia="Calibri"/>
        </w:rPr>
      </w:pPr>
      <w:r w:rsidRPr="00A4268A">
        <w:rPr>
          <w:rFonts w:eastAsia="Calibri"/>
        </w:rPr>
        <w:t xml:space="preserve">The activities team implement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 xml:space="preserve">Medications are managed appropriately in line with accepted guidelines.  The registered nurses and medication competent healthcare assistants administer medications and have completed an annual competency assessment.  Electronic medication charts are reviewed three-monthly by the general practitioner.  </w:t>
      </w:r>
    </w:p>
    <w:p w:rsidRPr="00A4268A" w:rsidP="00621629">
      <w:pPr>
        <w:spacing w:before="240" w:line="276" w:lineRule="auto"/>
        <w:rPr>
          <w:rFonts w:eastAsia="Calibri"/>
        </w:rPr>
      </w:pPr>
      <w:r w:rsidRPr="00A4268A">
        <w:rPr>
          <w:rFonts w:eastAsia="Calibri"/>
        </w:rPr>
        <w:t xml:space="preserve">All meals are cooked on site.  Residents' food preferences, dislikes and dietary requirements are identified at admission and accommodated.  Residents interviewed were satisfied with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CHT Onewa holds a current building warrant of fitness.  There is a reactive and planned maintenance programme in place.  Chemicals are stored safely throughout the facility.  All except one resident room is single occupancy and the majority have ensuites while some share ensuites.  There is sufficient space to allow the movement of residents around the facility using mobility aids.  There are several lounge and dining areas throughout the facility.  The internal environment was warm and comfortable.  The outdoor areas are safe and easily accessible with seating and shade.  Cleaners are providing appropriate services.  Staff have planned and implemented strategies for emergency management.  There is at least one first aid trained staff member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CHT Onewa has restraint minimisation and safe practice policies and procedures in place.  Staff receive training in restraint minimisation and challenging behaviour management.  On the day of audit, there were no residents with restraint and no residents using enablers.  The service has exceeded the standard in this area</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72"/>
        <w:gridCol w:w="1280"/>
        <w:gridCol w:w="988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developed by the CHT head office are being implemented that align with the requirements of the Health and Disability Commissioner’s (HDC) Code of Health and Disability Services Consumers’ Rights (the Code).  Families and residents are provided with information on admission which includes information about the Code.  Staff receive training about resident rights at orientation and as part of the in-service programme.  Interviews with two managers (one area manager and one unit manager) and 13 staff including: six healthcare assistants (HCA), two registered nurses (RN), one kitchen manager, one housekeeper, one maintenance, two activities coordinators reflected their understanding of the Code with examples provided of how it is applicable to their job role and responsibilities.  Four residents (two rest home and two hospital) and five relatives (two hospital and three rest home) interviewed, confirmed that staff respect their privacy and support residents in making choices.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informed consent, resuscitation and advance care planning policies in place.  Residents and relatives interviewed confirmed informed consent processes are discussed with them on admission.  Eight resident files reviewed (four hospital including one under the long-term chronic health condition [LTS-CHC] and one under ACC funding and four rest home files including one younger person - YPD) contained signed general consents and specific consents, for example, influenza vaccines.   Resuscitation forms had been signed by the competent resident or where the resident was deemed incompetent completed by the general practitioner in consultation with the enduring power of attorney (EPOA).  Activated EPOA were available where required on the resident files.  Advance care plans where available were sighted on the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Healthcare assistants (HCA) and registered nurses (RN) interviewed confirmed verbal consent is obtained when delivering care.  Family members are involved in decisions that affect their relative’s lives.  All eight resident files reviewed had a signed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information is available in the entrance foyer.  Residents interviewed confirmed they are aware of their right to access independent advocacy services.  Discussions with relatives confirmed the service provided opportunities for the family/enduring power of attorney (EPOA) to be involved in decisions.  The resident files included information on resident’s family/whānau and chosen social networks.  Interview with staff, residents and relatives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activities programme includes opportunities to attend events outside of the facility.  Residents are supported and encouraged to remain involved in the community.  Relatives and friends are encouraged to be involved with the service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made available at reception.  Information about complaints is also provided on admission.  Interviews with residents and families confirmed their understanding of the complaints process.  The unit manager and clinical coordinator were able to describe the process around reporting complaints, which complies with requirements set forth by the Health and Disability Commissioner (HDC). There is a complaint register available.  Eleven complaints were registered in 2020 and eight complaints have been lodged in 2021 (year-to-date).  Eight complaints were reviewed in detail (all from 2021).  They all reflected evidence of acknowledgement, a comprehensive investigation and communication with the complainant within the timeframes determined by HDC.  Complaints received may result in a corrective action plan, or a quality improvement (such as an updated orientation programme for registered staff) if opportunities for improvement are identified.  Staff are kept informed in meetings, evidenced in meeting minutes.  All complaints received have been documented as resolved to the complainant’s satisfaction, complaints are logged as ‘open’ until the service has completed all action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information pack given to prospective residents and families that includes information about the Code and their right to make a complaint.  There is the opportunity to discuss aspects of the Code during the admission process.  Residents and relatives interviewed confirmed that information is provided to them about the Code.  Large print posters of the Code in English and in te reo Māori are displayed in visible locations.  An RN or member of the management team discusses the information pack with residents/relatives on admission.  Families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tour of the premises confirmed there are areas that support personal privacy for residents.  Resident rooms are large with ample space for visitors.  Staff were observed to be respectful of residents’ privacy by knocking on doors prior to entering resident rooms.  Staff could describe definitions around abuse and neglect.  Residents and relatives interviewed confirmed that staff treat residents with respect.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preferences are identified during the admission and care planning process and include family involvement.  Interviews with residents and family confirmed their values and beliefs are considered.  This was also evidenced in the eight residents’ files reviewed.  Healthcare assistants (HCAs) interviewed could describe how they assist the residents to make choices.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Māori health plan that includes recognition of Māori values and beliefs.  The service has a connection with Te Rakipaewhenua (The north shore) group who are associated with Awataha Marae.  This marae includes representatives from Nga Puhi and Ngawhatua iwis.   Linkages are established to Māori advisory services.  Family/whānau involvement is encouraged in assessment and care planning and visiting is encouraged.  Cultural needs are assessed during the admission process and are addressed in the care plan.  There were two residents who identified as Māori at the time of the audit.  Discussions with care staff confirmed the specific cultural care plan interventions for both residents had been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meet the cultural needs of its residents.  All residents and relatives interviewed reported that they were satisfied that their cultural and individual values were being met.  Staff interviewed had a good understanding of enduring power of attorney (EPOA) and advance directives and their application in care.</w:t>
              <w:br/>
              <w:t>Information gathered during assessment including residents’ cultural beliefs and values is used to develop a care plan that the resident (if appropriate) and/or their family/whānau are asked to consult on.  HCAs interviewed described prompt cards, family support and that they have Chinese staff who speak the same language as one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RNs supervise staff to ensure professional practice is maintained in the service.  The abuse and neglect processes cover harassment and exploitation.  All residents interviewed reported that the staff were respectful.  Job descriptions include responsibilities of the position, ethics, advocacy and legal issues.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to meet the needs of residents requiring hospital and rest home level of care.  Staffing policies include pre-employment and the requirement to attend orientation and an ongoing in-service training plan.  Staff interviewed have an excellent understanding and knowledge of EPOAs and advance directives.  The resident satisfaction survey reflects high levels of satisfaction with the services that are provided.  Residents and relatives interviewed spoke very positively about the care and support provided.  Staff interviewed had a sound understanding of principles of aged care and stated that they feel supported by the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Seventeen incidents/accidents electronic forms were viewed.  The forms included a section to record family notification.  All twelve forms indicated that family were informed or if family did not wish to be informed.  Relatives interviewed confirmed they are notified of any changes in their family member’s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CHT Onewa is owned and operated by the CHT Healthcare Trust.  The service provides rest home and hospital level care for up to 67 residents.  All beds are dual purpose beds.  On the day of the audit there were 24 rest home and 31 hospital level residents.  This includes one hospital level resident on long stay - chronic health condition (LTS-CHC), two hospital residents and two rest home residents on a younger person with disabilities contract (YPD) and one hospital resident funded by ACC.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is a registered nurse and maintains an annual practicing certificate.  She has been in the role for three years and was previously the clinical coordinator at another CHT site for two years.  She is supported by a clinical coordinator who has been in the role for six years.  Management staff are supported by an area manager (also a registered nurse).  The unit manager and the clinical coordinator have completed in excess of eight hours of professional development in the past year.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business plan that lists performance goals for the facility that are centred on strategic themes.  The unit manager reports monthly (at a minimum) to the area manager regarding progress towards meeting goals.  The unit manager discussed the quality improvement themes she is implementing around: decreasing RN turnover, improving overall wound management and reducing pressure injuries, and improving staff attendance at mandatory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coordinator is responsible for clinical operations during the temporary absence of the care manager with additional support available from the area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business/strategic plan that includes quality goals and risk management plans for CHT Onewa.  There is evidence that the quality system continues to be implemented at the service.  The quality and risk management programme are designed to monitor contractual and standards compliance.  The services policies are reviewed at national level with input from facility staff every two years.  New/updated policies are sent from head office.  Staff have access to file vision manuals and are alerted to changes via a weekly newsletter which is emailed to all staff and posted in the staffroom.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advised that she is responsible for providing oversight of the quality programme.  Interviews with the managers and staff and review of meetings including monthly registered nurse meetings and monthly quality/health and safety meeting minutes confirmed that quality systems developed by CHT are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Resident/relative meetings are held monthly, and a quarterly newsletter is sent to all family and residents.  Residents and families are surveyed to gather feedback on the service provided and the outcomes are communicated to residents, staff and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collected (e.g., falls, skin tears, pressure injuries, infections) are analysed with trends identified.  Results are discussed in the monthly quality/health and staff meetings and monthly RN meeting.  Minutes and quality data graphs are posted in the staffroom for staff who did not attend to read.  Restraint and enabler use is reported within the quality meetings.  Interviews with staff confirmed that quality data is discussed at the monthly quality health and safety staff meeting </w:t>
            </w:r>
          </w:p>
          <w:p w:rsidR="00EB7645" w:rsidRPr="00BE00C7" w:rsidP="00BE00C7">
            <w:pPr>
              <w:pStyle w:val="OutcomeDescription"/>
              <w:spacing w:before="120" w:after="120"/>
              <w:rPr>
                <w:rFonts w:cs="Arial"/>
                <w:b w:val="0"/>
                <w:lang w:eastAsia="en-NZ"/>
              </w:rPr>
            </w:pPr>
            <w:r w:rsidRPr="00BE00C7">
              <w:rPr>
                <w:rFonts w:cs="Arial"/>
                <w:b w:val="0"/>
                <w:lang w:eastAsia="en-NZ"/>
              </w:rPr>
              <w:t>A six-monthly internal audit programme is being implemented along with monthly health and safety and medication audits.  There are risk management, and health and safety policies and procedures in place including accident and hazard management.  Health and safety representatives include two HCAs, one activities coordinator and one RN.  All representatives have had external training related to their roles.  Hazard controls are regularly reviewed (most recently in May 2021).  Contractors are orientated to health and safety processes.</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implemented for individual residents and staff receive training to support falls prevention.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or clinical coordinator investigates/signs off on all accidents and near misses.  There is an incident/accident reporting policy that includes definitions and outlines responsibilities including immediate action, reporting, monitoring, corrective action to minimise and debriefing.  Individual incident/accident reports are completed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Analyses of incident trends occur.  There is a discussion of incidents/accidents in the quality/health and safety and clinical meetings.</w:t>
            </w:r>
          </w:p>
          <w:p w:rsidR="00EB7645" w:rsidRPr="00BE00C7" w:rsidP="00BE00C7">
            <w:pPr>
              <w:pStyle w:val="OutcomeDescription"/>
              <w:spacing w:before="120" w:after="120"/>
              <w:rPr>
                <w:rFonts w:cs="Arial"/>
                <w:b w:val="0"/>
                <w:lang w:eastAsia="en-NZ"/>
              </w:rPr>
            </w:pPr>
            <w:r w:rsidRPr="00BE00C7">
              <w:rPr>
                <w:rFonts w:cs="Arial"/>
                <w:b w:val="0"/>
                <w:lang w:eastAsia="en-NZ"/>
              </w:rPr>
              <w:t>Seventeen incident forms that were sampled, documented clinical follow-up of residents by an RN.  Neurological observations are completed when there is a suspected injury to the head.  Incident form follow-up included: ongoing review through progress notes by the RN, the use of short-term care plans and pain monitoring.  One resident stated that she felt very well looked after following a recent fall.</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unit manager confirmed her awareness of the requirement to notify relevant authorities in relation to essential notifications.  There have been no complaints involving HDC since the previous audit.  One coronial inquiry is in progress.  The service responded to a request for additional information and are awaiting further correspondence.  There have been no outbreaks since the previous audit.  There have been four section 31s for two unstageable pressure injuries (one community acquired, and one facility acquired), one grade three pressure injury (community acquired) and one abscondment.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cover recruitment, selection, orientation and staff training and development.  Six staff files reviewed (two RNs, one clinical coordinator, one activities coordinator/HCA and two healthcare assistants) reflected evidence of reference checking, signed employment contracts and job descriptions, completed orientation programmes and annual performance appraisals.  The orientation programme provides new staff with relevant information for safe work practice.  Orientation is specific to the individual’s job role and responsibilities.  Current registered nursing staff and external health professionals (general practitioners, physiotherapist, pharmacists, podiatrist) practising certificates were sighted.</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annual education and training plan that exceeds eight hours annually per staff member.  Training is primarily online with competency assessments linked to training.  A register for each training session and an individual staff member record of training was verified.  Additional training had included Covid-19 (infection control, PPE), EPOA and advance directive training, early identification of CVAs, and effective monitoring of the acutely unwell resident for registered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Three of the four registered nurses have completed their interRAI training.  The unit manager and clinical coordinator attend monthly management meetings which include an education component relevant to managing an aged care facility.  Registered nurses are able to attend external training including sessions provided by the local DHB.  Two HCAs working as Health and Safety representatives have completed Health and Safety training.   The service encourages Careerforce qualifications for staff.  There are six HCAs with level four Careerforce qualification, ten with level three and one with level two.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Rosters implement the staffing rationale.  The clinical coordinator is an RN that works Monday – Friday.  When necessary, bureau registered nurses are utilised. </w:t>
            </w:r>
          </w:p>
          <w:p w:rsidR="00EB7645" w:rsidRPr="00BE00C7" w:rsidP="00BE00C7">
            <w:pPr>
              <w:pStyle w:val="OutcomeDescription"/>
              <w:spacing w:before="120" w:after="120"/>
              <w:rPr>
                <w:rFonts w:cs="Arial"/>
                <w:b w:val="0"/>
                <w:lang w:eastAsia="en-NZ"/>
              </w:rPr>
            </w:pPr>
            <w:r w:rsidRPr="00BE00C7">
              <w:rPr>
                <w:rFonts w:cs="Arial"/>
                <w:b w:val="0"/>
                <w:lang w:eastAsia="en-NZ"/>
              </w:rPr>
              <w:t>There is one roster and staff are allocated to each of the six wings.  The roster allows for at least one HCA in each wing during the day plus assistance from the clinical area.  On the day of audit there were 55 residents (24 rest home and 31 at hospital level).</w:t>
            </w:r>
          </w:p>
          <w:p w:rsidR="00EB7645" w:rsidRPr="00BE00C7" w:rsidP="00BE00C7">
            <w:pPr>
              <w:pStyle w:val="OutcomeDescription"/>
              <w:spacing w:before="120" w:after="120"/>
              <w:rPr>
                <w:rFonts w:cs="Arial"/>
                <w:b w:val="0"/>
                <w:lang w:eastAsia="en-NZ"/>
              </w:rPr>
            </w:pPr>
            <w:r w:rsidRPr="00BE00C7">
              <w:rPr>
                <w:rFonts w:cs="Arial"/>
                <w:b w:val="0"/>
                <w:lang w:eastAsia="en-NZ"/>
              </w:rPr>
              <w:t>AM shift: There are two RNs (including the clinical coordinator and six HCAs (four long and two short).  PM shift: There are two RNs (one long and one short) and six HCAs (four long and two short).  Night: There is one RN and three HCAs.</w:t>
            </w:r>
          </w:p>
          <w:p w:rsidR="00EB7645" w:rsidRPr="00BE00C7" w:rsidP="00BE00C7">
            <w:pPr>
              <w:pStyle w:val="OutcomeDescription"/>
              <w:spacing w:before="120" w:after="120"/>
              <w:rPr>
                <w:rFonts w:cs="Arial"/>
                <w:b w:val="0"/>
                <w:lang w:eastAsia="en-NZ"/>
              </w:rPr>
            </w:pPr>
            <w:r w:rsidRPr="00BE00C7">
              <w:rPr>
                <w:rFonts w:cs="Arial"/>
                <w:b w:val="0"/>
                <w:lang w:eastAsia="en-NZ"/>
              </w:rPr>
              <w:t>Staff were visible and were attending to call bells in a timely manner as confirmed by all residents interviewed.  Staff interviewed stated that the staffing levels are satisfactory and that the RNs and clinical coordinator provide good support.  Residents and family members interviewed reported there are sufficient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Resident files are held both electronically and in files and are protected from unauthorised access.  Entries are computerised, dated, and include the relevant care giver or nurse including their designation.  Individual resident files demonstrated service integration.  Informed consent to display photographs is obtained from residents/family/whānau on admission.  Other residents or members of the public cannot view material containing sensitive resident information.  Medication charts are in a separate folder.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admission policies and processes in place.  Residents receive an information pack outlining services able to be provided, the admission process and entry to the service.  The manager/registered nurse screens all potential residents prior to entry to ensure the service can provide the required level of care.  Residents and relatives interviewed confirmed they received information prior to admission and had the opportunity to discuss the admission agreement with the manager and clinical coordinator.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ensure the discharge of residents occurs correctly.  Residents who require admission to hospital are managed appropriately and relevant information is communicated to the DHB.  Relatives are notified if transfers occur and have the opportunity to accompany the resident for transfers to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Medicines are stored safely.  Registered nurses and senior HCAs are responsible for medication administration and complete annual medication competencies and annual medication education.  Registered nurses have completed syringe driver competencies through the hospice.  Robotic medication rolls for regular medications are checked on delivery by the RN on duty and the pack checked in on the electronic medication management system.  ‘As required’ medications are dispensed in blister packs.  There is a hospital stock for hospital residents which is checked regularly for stock level and expiry dates.  There are no standing orders.  There were no residents self-medicating on the day of audit.  All eye drops and ointments in use were dated on opening.  The medication fridge is monitored daily, and temperatures had been maintained below 8 degrees Celsius.  The air conditioning unit in the medication room was set at 18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medication charts on the electronic medication system were reviewed.  All charts met prescribing requirements including the indication for use of ‘as required’ medications.  The effectiveness of ‘as required’ medications had been entered into the electronic recording system.  All charts had photo identification and allergy status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and baking are done on site by a contracted service.  The chef manager (interviewed) is responsible for the operations of the food services.  The chef is supported by a weekend cook and kitchenhands.  Staff have completed online food safety training and infection control standards.  The menu is a four weekly rotating seasonal menu which has been reviewed by the contracted service dietitian.  Meals are served from the kitchen bain marie to residents in the hospital dining room and other meals are delivered in hot boxes to the rest home and second hospital dining room and served by HCAs.  Special diets are plated and labelled in the kitchen.  The chef manager receives individual resident dietary forms which are reviewed six-monthly.  The chef manager is notified of any dietary changes or residents with weight loss.  Fortified foods (REAP) is provided for residents with identified weight loss and as instructed by the RN/dietitian.  Special diets provided include pureed foods (in moulds), soft, mince and moist meals.  Dislikes are known, and alternative foods are offered.  There is specialised crockery and cutlery for use as required.</w:t>
            </w:r>
          </w:p>
          <w:p w:rsidR="00EB7645" w:rsidRPr="00BE00C7" w:rsidP="00BE00C7">
            <w:pPr>
              <w:pStyle w:val="OutcomeDescription"/>
              <w:spacing w:before="120" w:after="120"/>
              <w:rPr>
                <w:rFonts w:cs="Arial"/>
                <w:b w:val="0"/>
                <w:lang w:eastAsia="en-NZ"/>
              </w:rPr>
            </w:pPr>
            <w:r w:rsidRPr="00BE00C7">
              <w:rPr>
                <w:rFonts w:cs="Arial"/>
                <w:b w:val="0"/>
                <w:lang w:eastAsia="en-NZ"/>
              </w:rPr>
              <w:t>There is a food control plan that expires 7 April 2022.  All food is stored appropriately.  Daily food control plan checks include temperatures of refrigerators, chillers, freezers, end-cooked foods, inward goods and dishwasher temperatures.  A cleaning schedule is maintained.  All recordings are logged into Safe Pro.</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manager attends resident meetings where residents have the opportunity to provide feedback.  Residents feedback in the daily food comment book in the dining rooms.  Residents interviewed were satisfied with the variety of meals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reasons for declining service entry to potential residents should this occur and communicates this decision to potential residents/family/whānau and the referring agency.  Anyone declined entry is referred back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reviewed indicated that all appropriate personal needs information is gathered during admission from discharge summaries, homecare assessments, medical information and discussions with the resident and their relative where appropriate.  Files contained initial risk assessment tool as applicable.  Admission short-term care plans were based on the risk assessments and information obtained on admission.  The first interRAI assessment tool was completed within 21 days for long-term residents and completed six monthly or earlier due to changes in health.  Long-term care plans reviewed were developed based on these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long-term care plans reviewed described the support required to meet the resident’s needs and goals and identified allied health involvement.  The interRAI assessment process informs the development of the resident’s care plan and have outcomes linked to the care plan.  Residents and their family/whānau interviewed reported that they are involved in the care planning and review process.  The resident or relatives sign long-term care plans and receive copies (emailed or posted).  Short-term care plans were sighted in use for changes in health status such as infections and pain.  Care staff interviewed reported they found the plans easy to follow.  There was documented input from a range of specialist care professionals including the podiatrist, physiotherapist, wound care nurse, Huntington’s nurse specialist, mental health services and clinical pharmacist.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HCAs follow the care plan and report progress against the care plan each shift at handover.  Electronic work logs and monitoring forms are maintained and reviewed daily by the RN on duty.  If a resident’s condition changes the RNs will initiate a NP/GP or nurse specialist referral.  Relatives interviewed confirmed they were notified of any resident health changes.  Short-term care plans for changes to care or health were sighted, and these had been regularly reviewed, resolved or added to the care plan if an ongoing problem.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have access to sufficient medical supplies and dressings.  Wound assessment and treatment plans, wound monitoring, and wound evaluations were in place for 17 residents with current wounds including skin tears, lesions, skin conditions, open wound and surgical wounds.  Wound evaluations included photos and wound measurements.  There was one resident with two community acquired pressure injuries (stage 2 lateral foot and one unstageable heel).  An accident/incident form and section 31 were completed.  There has been wound nurse specialist input and there were pressure injury prevention resources in place, two hourly repositioning chart and dietary supplement.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Sufficient continence products are available and resident files include a continence assessment and plan as part of the plan of care.  Specialist continence advice is available through the DHB.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monitoring a resident’s health status such as re-positioning charts, food and fluid charts, bowel monitoring, monthly or more regular weights, blood pressure, blood sugar levels, pain monitoring, neurological observations and behaviour monitoring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activity coordinators are qualified diversional therapists (DT).  The facility is divided into two units with a DT based in each unit Monday to Friday.  There are separate programmes that also identify integrated activities and location of these such as entertainment, bus trips, pet therapy, library and church services.  There are volunteers involved in the programme including college students, age concern weekly visitor, mums and babies Plunket group, arts and crafts ladies.  Activities include (but are not limited to); current affairs, a variety of exercises (stick exercises, scarf exercises and yoga) board games, sensory activities, music appreciation, movies, happy hour with entertainment, group and individual walks and crafts.  The ladies group enjoy pampering nail care and high teas.  The men’s group meet for discussion, beer, snacks and conversation around hobbies and interests.  Guest speakers from the community come along to the men’s group showcase some of their handywork.  Residents who do not wish to participate in the group programme have allocated one-on-one time spent with them and offer spas with hand care and pampering, aromatherapy and sensory activities.  There are plentiful resources for self-directed activities in the weekends or as initiated by the HCAs.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hires a mobility bus for its hospital/rest home resident outings to places of interest in the community such as Mairangi art gallery, winter gardens, RSA lunches, scenic drives, beach picnics and ice-cream.  Both DTs have a current first aid certificate.  Community links are maintained with the Chinese community and kapa haka Māori cultural group.  The service is focused on intergenerational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Younger people have their individual interests identified on admission and accommodated.  They choose to attend activities offered on the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lifestyle questionnaire is completed soon after a resident’s admission.  An individual activities plan is developed for each resident and is evaluated six-monthly in consultation with the resident/relative and RN.  Residents have the opportunity to feedback on the activity programme through resident meetings and surveys.  Residents and relatives interviewed stated they were happy with activities offered.  The latest survey in April 2021 demonstrates a good/very good satisfaction with the activity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reviewed had been evaluated by the RNs within three weeks of admission.  The long-term care plans have been evaluated by the primary RN in discussion with the resident/relative at least six-monthly or earlier for health changes.  The six-monthly care plan evaluations involve care staff, applicable allied health professionals and the resident/relative.  The six-monthly written evaluations for long-term residents record the resident’s progress against the resident goals and the care plan is updated with any changes to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Referral documentation is maintained on resident files.  The RNs initiate referrals to nurse specialists and allied health services.  Other specialist referrals are made by the NP/GP.  Referrals and options for care were discussed with the family, as evidenced in medical notes.  Evidence of referrals sighted included mental health services for the older adult, occupational therapist, neurologist, social worker and vascular clinic.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in place to guide staff in waste management.  Staff interviewed were aware of practices outlined in relevant policy.  Sluice rooms had personal protective equipment available at the point of use.  Gloves, aprons, and goggles were observed to be worn by staff while carrying out their duties.  Chemicals sighted were labelled correctly and stored safely throughout the facility.  Safety data sheets are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7 April 2022.  There is a maintenance person who covers three CHT facilities and has one designated day per week at Onewa facility with two flexi days where he can be on site as required.  A maintenance book is available at reception for any requests for repairs.  The maintenance person is notified of any urgent repairs or maintenance requests.  Essential contractors are available 24 hours.  A planned maintenance schedule is maintained and signed off as completed.  The maintenance person is a trained electrical tester and tagger.  Monthly resident hot water temperatures are monitored and have been within acceptable limits since January 2021 when tempering valves were replaced.  Resident related equipment is calibrated.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safe and easy access to communal areas and external courtyards and gardens with seating and shade.  All internal and external areas are well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they had sufficient equipment to safely deliver the cares as outlined in the resident care plans such as electric beds, hoists, platform and chair weigh scales.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mix of resident rooms with toilets and hand basins, shared toilets and hand basins and hand basins only.  There are three respite rooms with handbasins that are closely located to communal toilet/shower rooms.  There are adequate communal showers and toilets including a large shower room that can accommodate a shower trolley if required.  Fixtures, fittings and flooring are appropriate, and toilets/showers are constructed for ease of cleaning.  Communal toilet/showers have privacy signs.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are of an appropriate size to allow care to be provided and for the safe use and manoeuvring of mobility aids.  There is one double room, and all other resident rooms are single.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communal areas include two large lounges and dining areas, and several smaller lounges, one with tea/coffee making facilities for family.  These lounges are large enough to accommodate activities (as observed on the day of audit).  Seating and space can be arranged to allow both individual and group activities to occur.  There are sufficient communal areas and seating alcoves for residents who prefer quieter activities or visitors to sit.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personal clothing and laundry are completed off-site at another CHT facility.  There is a dirty laundry collection and external pick-up area.  Clean laundry is delivered to a separate clean laundry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housekeeping staff are contracted.  There is a cleaner in each unit of the facility for four hours per day.  The cleaners have access to chemicals, chemical mixing system, cleaning equipment and protective clothing.  Cleaning trolleys are kept in a locked cleaners’ cupboard when not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standard of cleanliness is monitored through the internal audit programme.  Residents interviewed were satisfied with the standard of cleanliness 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emergency and security situations including how services will be provided in health, civil defence or other emergencies.  All staff receive emergency training on orientation and ongoing.  Civil defence supplies are readily available within the facility and include water, food and supplies (torches, radio and batteries), and barbeque.  Short-term back-up power for emergency lighting is in place.  The facility keeps in excess of 2000 litres of emergency water for resident use on site.  A generator, sufficient to run the building has been ordered and is in transit from overseas.  The facility has been pre-wired to enable generator support.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approved fire evacuation scheme in place and six-monthly fire drills have been completed.  A resident building register is maintained.  Fire safety is completed with new staff as part of the health and safety induction and is ongoing.  A minimum of one person trained in first aid and cardiopulmonary resuscitation (CPR) is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Residents’ rooms, communal bathrooms and living areas all have call bells.  Residents were observed to have their call bells in close proximity.  Security policies and procedures are documented and implemented by staff.  The buildings are secure at night.  There is security lighting.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underfloor and ceiling heating throughout the facility.  All resident rooms and communal areas have external windows that open, allowing plenty of natural sunlight.  Some resident rooms have doors that open out onto a balcony area with safe railings.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CHT Onewa has an established infection control programme.  The infection control programme, its content and detail, is appropriate for the size, complexity and degree of risk associated with the service.  It is linked into the incident reporting system.  A registered nurse who is also the clinical coordinator is the designated infection control coordinator with support from the unit manager and all staff as the quality management committee (infection control team).  Minutes are available for staff.  Spot audits have been conducted and include hand hygiene and infection control practices.  Education is provided for all new staff on orientation.  The infection control programme has been reviewed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at CHT Onewa is the designated infection control (IC) coordinator.  There are adequate resources to implement the infection control programme for the size and complexity of the organisation.  The IC nurse and IC team (comprising all staff) has good external support from the local laboratory infection control team and IC nurse specialist at the DHB and external consultants “Bug Control”.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CHT infection control policies and procedures appropriate to for the size and complexity of the service.  The infection control manual outlines a comprehensive range of policies, standards and guidelines and includes defining roles, responsibilities and oversight, the infection control team and training and education of staff.  Policies have been reviewed and updated.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The infection control coordinator has completed external infection control training.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CHTs infection control manual.  Monthly infection data is collected for all infections based on signs and symptoms of infection.  Short-term care plans are used.  Surveillance of all infections is entered onto a monthly infection summary.  This data is monitored and evaluated monthly and annually.  Outcomes and actions are discussed at quality meetings.  If there is an emergent issue, it is acted upon in a timely manner.  Reports are easily accessible to the unit manager.  There have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include definition of restraint and enabler that restraint practices are only used where it is clinically indicated, and other de-escalation strategies have been ineffective.  Restraint minimisation policies and procedures are congruent with the definition in NZS 8134.0 and are comprehensive and include processes and use of restraints and enablers.  Restraint is a standard agenda item at clinical meetings.  The restraint coordinator is an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using enablers or restraints. </w:t>
            </w:r>
          </w:p>
          <w:p w:rsidR="00EB7645" w:rsidRPr="00BE00C7" w:rsidP="00BE00C7">
            <w:pPr>
              <w:pStyle w:val="OutcomeDescription"/>
              <w:spacing w:before="120" w:after="120"/>
              <w:rPr>
                <w:rFonts w:cs="Arial"/>
                <w:b w:val="0"/>
                <w:lang w:eastAsia="en-NZ"/>
              </w:rPr>
            </w:pPr>
            <w:r w:rsidRPr="00BE00C7">
              <w:rPr>
                <w:rFonts w:cs="Arial"/>
                <w:b w:val="0"/>
                <w:lang w:eastAsia="en-NZ"/>
              </w:rPr>
              <w:t>Staff education on RMSP/enablers has been provided.  Staff interviews, and staff records evidenced guidance has been given on restraint minimisation and safe practice (RMSP), enabler usage and prevention and/or de-escalation techniques.  CHT Onewa is commended for achieving and maintaining a restraint free environment.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31"/>
        <w:gridCol w:w="1280"/>
        <w:gridCol w:w="1964"/>
        <w:gridCol w:w="866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CHT Onewa management and staff have worked together to minimise the use of restraints since February 2019.  All opportunities to implement alternative strategies are considered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February 2019 the service made a conscious decision to minimise the use of restraint.  At this time, they had three residents using restraint and one using an enabler.  An improvement plan was developed.  Residents and their families (including those who were transferring from the DHB where bed rails had been used) were educated around the risks versus benefits of restraint.  The improvement plan included the purchase of low beds, landing mats and sensor mats.  Staff education included the goal of being restraint free and a focus on how to implement this.  Staff were educated to ensure high falls risk residents on restraint had regular checks, toilet and fluid rounds.  These were regularly evaluated for effectiveness, and further interventions implemented as a result.  Evaluation of residents on restraints who had potential to have the restraint discontinued occurred regularly.</w:t>
            </w:r>
          </w:p>
          <w:p w:rsidR="00EB7645" w:rsidRPr="00BE00C7" w:rsidP="00BE00C7">
            <w:pPr>
              <w:pStyle w:val="OutcomeDescription"/>
              <w:spacing w:before="120" w:after="120"/>
              <w:rPr>
                <w:rFonts w:cs="Arial"/>
                <w:b w:val="0"/>
                <w:lang w:eastAsia="en-NZ"/>
              </w:rPr>
            </w:pPr>
            <w:r w:rsidRPr="00BE00C7">
              <w:rPr>
                <w:rFonts w:cs="Arial"/>
                <w:b w:val="0"/>
                <w:lang w:eastAsia="en-NZ"/>
              </w:rPr>
              <w:t>The corrective action plan and individual interventions were discussed during staff handovers, monthly meetings, and at annual restraint minimisation training.  There were topics included in the yearly meetings that are related to restraint minimisation, (ie, falls prevention and management, de-escalation techniques, risk management). Continuous education is through staff annual training conducted by the restraint coordinator, restraint coordinators annual training, and Restraint Policy review in CHT head office.  Regular reviews of the effectiveness of the corrective action plan were evidenced in monthly restraint reporting, monthly RN and quality meeting minutes, and in health and safety and six-monthly internal audits.</w:t>
            </w:r>
          </w:p>
          <w:p w:rsidR="00EB7645" w:rsidRPr="00BE00C7" w:rsidP="00BE00C7">
            <w:pPr>
              <w:pStyle w:val="OutcomeDescription"/>
              <w:spacing w:before="120" w:after="120"/>
              <w:rPr>
                <w:rFonts w:cs="Arial"/>
                <w:b w:val="0"/>
                <w:lang w:eastAsia="en-NZ"/>
              </w:rPr>
            </w:pPr>
            <w:r w:rsidRPr="00BE00C7">
              <w:rPr>
                <w:rFonts w:cs="Arial"/>
                <w:b w:val="0"/>
                <w:lang w:eastAsia="en-NZ"/>
              </w:rPr>
              <w:t>The above measures have resulted in reducing restraint use since 2019 and maintaining a restraint free environment for the past two years.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Onewa Hospital and Rest Home</w:t>
    </w:r>
    <w:bookmarkEnd w:id="58"/>
    <w:r>
      <w:rPr>
        <w:rFonts w:cs="Arial"/>
        <w:sz w:val="16"/>
        <w:szCs w:val="20"/>
      </w:rPr>
      <w:tab/>
      <w:t xml:space="preserve">Date of Audit: </w:t>
    </w:r>
    <w:bookmarkStart w:id="59" w:name="AuditStartDate1"/>
    <w:r>
      <w:rPr>
        <w:rFonts w:cs="Arial"/>
        <w:sz w:val="16"/>
        <w:szCs w:val="20"/>
      </w:rPr>
      <w:t>15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