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Sunrise Healthcare Limited - Jervois Residential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Sunrise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Jervois Residential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June 2021</w:t>
      </w:r>
      <w:bookmarkEnd w:id="7"/>
      <w:r w:rsidRPr="009418D4">
        <w:rPr>
          <w:rFonts w:cs="Arial"/>
        </w:rPr>
        <w:tab/>
        <w:t xml:space="preserve">End date: </w:t>
      </w:r>
      <w:bookmarkStart w:id="8" w:name="AuditEndDate"/>
      <w:r w:rsidR="00A4268A">
        <w:rPr>
          <w:rFonts w:cs="Arial"/>
        </w:rPr>
        <w:t>15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Jervois Residential Care has notified the Ministry of Health regarding its intention to reconfigure services to add young people with a disability (YPD). Residential Disability Services – Physical &amp; Intellectual.  This audit verifies the service as appropriate to provide Residential Disability Services – Physical &amp; Intellectual.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Jervois Residential Care is one of four facilities owned by Sunrise Healthcare.  The facility provides rest home and hospital level of care for up to 46 residents.  On the day of the audit there were 38 residents.  The service notified Ministry of Health regarding a configuration of service to include Residential Disability Services – Physical &amp; Intellectual services.  This audit verifies the service as appropriate to provide these services.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 and staff files, observations, and interviews with family, management, staff, and the general practitioner. </w:t>
      </w:r>
    </w:p>
    <w:p w:rsidRPr="00A4268A">
      <w:pPr>
        <w:spacing w:before="240" w:line="276" w:lineRule="auto"/>
        <w:rPr>
          <w:rFonts w:eastAsia="Calibri"/>
        </w:rPr>
      </w:pPr>
      <w:r w:rsidRPr="00A4268A">
        <w:rPr>
          <w:rFonts w:eastAsia="Calibri"/>
        </w:rPr>
        <w:t xml:space="preserve">The facility manager (director) and service manager (director) provide oversight of the facility with the clinical manager taking responsibility for clinical areas.  </w:t>
      </w:r>
    </w:p>
    <w:p w:rsidRPr="00A4268A">
      <w:pPr>
        <w:spacing w:before="240" w:line="276" w:lineRule="auto"/>
        <w:rPr>
          <w:rFonts w:eastAsia="Calibri"/>
        </w:rPr>
      </w:pPr>
      <w:r w:rsidRPr="00A4268A">
        <w:rPr>
          <w:rFonts w:eastAsia="Calibri"/>
        </w:rPr>
        <w:t>The residents and relatives spoke positively about the care including the meals and activities provided.</w:t>
      </w:r>
    </w:p>
    <w:p w:rsidRPr="00A4268A">
      <w:pPr>
        <w:spacing w:before="240" w:line="276" w:lineRule="auto"/>
        <w:rPr>
          <w:rFonts w:eastAsia="Calibri"/>
        </w:rPr>
      </w:pPr>
      <w:r w:rsidRPr="00A4268A">
        <w:rPr>
          <w:rFonts w:eastAsia="Calibri"/>
        </w:rPr>
        <w:t xml:space="preserve">This certification audit identified an area for improvement around corrective actions.  </w:t>
      </w:r>
    </w:p>
    <w:p w:rsidRPr="00A4268A">
      <w:pPr>
        <w:spacing w:before="240" w:line="276" w:lineRule="auto"/>
        <w:rPr>
          <w:rFonts w:eastAsia="Calibri"/>
        </w:rPr>
      </w:pPr>
      <w:r w:rsidRPr="00A4268A">
        <w:rPr>
          <w:rFonts w:eastAsia="Calibri"/>
        </w:rPr>
        <w:t xml:space="preserve">A rating of continuous improvement has been awarded for the maintenance of a restraint free environment.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and residents stated that their rights are upheld.  Systems protect their physical privacy and promote their independence.  Individual care plans include reference to residents’ values and beliefs.  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Consents are documented by residents or family and there are advance directives documented if the resident is competent to complete these.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Jervois Residential Care staff have strong leadership from the directors (facility and service managers) and from the clinical manager.  There is a documented quality and risk management system with the key components of the quality management system including management of complaints, implementation of an internal audit schedule, annual satisfaction surveys, incidents and accidents, review of infections, and review of risk and monitoring of health and safety, including hazards.  Facility meetings are held to discuss data and issues and to review trends.  </w:t>
      </w:r>
    </w:p>
    <w:p w:rsidRPr="00A4268A">
      <w:pPr>
        <w:spacing w:before="240" w:line="276" w:lineRule="auto"/>
        <w:rPr>
          <w:rFonts w:eastAsia="Calibri"/>
        </w:rPr>
      </w:pPr>
      <w:r w:rsidRPr="00A4268A">
        <w:rPr>
          <w:rFonts w:eastAsia="Calibri"/>
        </w:rPr>
        <w:t xml:space="preserve">Human resource policies are in place, including a documented rationale for determining staffing levels and skill mixes.  A roster provides sufficient and appropriate staff coverage for the effective delivery of rest home, hospital, medical, level of care and services for young people with disabilities.  The education programme includes mandatory training requirements, competencies, and external training opportunities.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caregivers responsible for the administration of medicines complete education and medication competencies.  The electronic medication charts are reviewed three-monthly by the general practitioner.</w:t>
      </w:r>
    </w:p>
    <w:p w:rsidRPr="00A4268A"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This includes the provision of a range of activities for younger disabled residents, including education, leisure, and cultural events as part of a plan developed in partnership with the resident.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Electrical equipment has been tested and tagged.  All medical equipment and all hoists have been serviced and calibrated.  </w:t>
      </w:r>
    </w:p>
    <w:p w:rsidRPr="00A4268A">
      <w:pPr>
        <w:spacing w:before="240" w:line="276" w:lineRule="auto"/>
        <w:rPr>
          <w:rFonts w:eastAsia="Calibri"/>
        </w:rPr>
      </w:pPr>
      <w:r w:rsidRPr="00A4268A">
        <w:rPr>
          <w:rFonts w:eastAsia="Calibri"/>
        </w:rPr>
        <w:t xml:space="preserve">Residents can freely mobilise within the communal areas with safe access to the outdoors, seating, and shade.  Cleaning and laundry services are monitored through the internal auditing system. </w:t>
      </w:r>
    </w:p>
    <w:p w:rsidRPr="00A4268A">
      <w:pPr>
        <w:spacing w:before="240" w:line="276" w:lineRule="auto"/>
        <w:rPr>
          <w:rFonts w:eastAsia="Calibri"/>
        </w:rPr>
      </w:pPr>
      <w:r w:rsidRPr="00A4268A">
        <w:rPr>
          <w:rFonts w:eastAsia="Calibri"/>
        </w:rPr>
        <w:t xml:space="preserve">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for the safe assessment and review of restraint and enabler use.  During the audit there were no residents using a restraint or an enabler.  The service has been restraint free since 2017.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resource nurse (clinical manager) is responsible for coordinating education and training for staff.  The resource nurse has completed annual training through an online provider in addition to ongoing Covid-19 education provided by the local DHB.  There is a suite of infection control policies and guidelines to support practice.  The infection control resource nurse and facility manager use the information obtained through surveillance to determine infection control activities and education needs within the facility.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04"/>
        <w:gridCol w:w="1280"/>
        <w:gridCol w:w="87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Jervois Residential Care policies and procedures are being implemented that align with the requirements of the Health and Disability Commissioner (HDC) Code of Health and Disability Services Consumers’ Rights (the Code).  Families and residents are provided with information on admission, which includes information about the Code.  Staff receive training about resident rights at orientation and as part of the in-service programme.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(three caregivers, one registered nurse [RN], health and safety representative, maintenance staff, cook, activities coordinator) and managers (facility manager [director], service manager [director], and clinical manager) confirmed their understanding of the Health and Disability Commissioner (HDC) Code of Health and Disability Services Consumers’ Rights (the Code) with all able to apply this into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Written general consents reviewed in the seven resident files (three rest home, and four hospital level, including one YPD) were signed by the resident or their enduring power of attorney (EPOA).  Residents in shared rooms sign a specific consent related to dual occupancy and privacy is maintained appropriately by the use of curtain dividers.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and/or resuscitation status are signed for separately by the competent resident.  Copies of EPOA are kept on the residents file where required and activated where necessary.  Caregivers and registered nurses (RN)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There are short-term admission agreements available for respite residents.  Seven resident files sampled have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One resident interviewed, indicated that he advocates for the residents.  Discussions with relatives confirmed the service provided opportunities for the family/EPOA to be involved in decisions.  The resident files sampled included information on residents’ family/whānau and chosen social networks.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HDC advocacy service is an invited speaker at resident/family meetings at least annually and the advocate provides staff training on the Code and the role of advocacy services at least annually.  Staff complete on line training on the Code and advocacy services annually with this sighted as having been completed in all resident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open visiting.  Visitors were observed coming and going during the audit.  The activities programme includes opportunities to attend events outside of the facility.  Relatives and friends are encouraged to be involved with the service and care.  Young people with a disability are encouraged to go out with family and other providers (e.g., social workers, mental health support workers etc).  YPD residents are provided with their specific activities calendar that encourages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assistance to ensure that the residents are able to participate in as much as they can safely and desire to do.  They have also created ongoing relationships with community groups that visit the facility.  Resident meetings are held monthly.  The service has maintained communication with family during the Covid-19 pandemic that included keeping the family informed about their relative and activities held at the service during periods of lockdown.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at the entrance to the facility.  Information about complaints is provided on admission.  Interviews with residents and relatives confirmed their understanding of the complaints process.  Management operates an open-door policy and all residents and family stated that they would inform the manager/s of any concerns and all felt that their concerns would be addressed.  Staff interviewed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 register that includes complaints received, dates and actions taken.  The clinical manager signs off each complaint when it is closed.  There is evidence of lodged complaints being discussed in the staff meetings and at clinical (RN)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complaints have been received in 2020 and one in 2021 (year-to-date).  All three complaints were reviewed and indicated that complaints are being managed in a timely manner, meeting requirements determined by HDC.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lodged with external providers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information pack given to prospective residents and families that includes information about the Code.  There is the opportunity to discuss aspects of the Code during the admission process.  Large print posters of the Code are displayed throughout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11 residents (five requiring hospital level of care including one young person with a disability [YPD] and one resident under a long-term service – chronic health condition [LTS-CHC]; and six residents requiring rest home level of care including one under an ACC contract, two YPD, one using respite services) and two relatives (one hospital [LTS-CHC] and one rest home) interviewed, confirmed that staff respect privacy, and support residents in making choices.  Residents and relatives interviewed confirmed that information had been provided to them around the Code.  </w:t>
            </w:r>
          </w:p>
          <w:p w:rsidR="00EB7645" w:rsidRPr="00BE00C7" w:rsidP="00BE00C7">
            <w:pPr>
              <w:pStyle w:val="OutcomeDescription"/>
              <w:spacing w:before="120" w:after="120"/>
              <w:rPr>
                <w:rFonts w:cs="Arial"/>
                <w:b w:val="0"/>
                <w:lang w:eastAsia="en-NZ"/>
              </w:rPr>
            </w:pPr>
            <w:r w:rsidRPr="00BE00C7">
              <w:rPr>
                <w:rFonts w:cs="Arial"/>
                <w:b w:val="0"/>
                <w:lang w:eastAsia="en-NZ"/>
              </w:rPr>
              <w:t>Family and residents are informed of the scope of services and any liability for payment for items not included in the scope.  This is included in the service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tour of the premises confirmed there were areas that support personal privacy for residents.  Caregivers were observed to knock on doors before entering resident bedrooms.  Care staff confirmed they promote the residents' independence by encouraging them to be as active as possible.  During the audit staff were observed to be respectful of residents’ privacy by knocking on doors prior to entering resident rooms.  Bedrooms identified as being double rooms have a privacy curtain to separate the bed areas for each resident.  Residents and families have consented to sharing a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spiritual care.  Church services are conducted weekly with a monthly interdenominational service.  All residents interviewed indicated that their spiritual needs are being met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identification of and management of abuse and/or neglect.  Staff have received training annually around this and when interviewed, were able to describe symptoms to look for and what they would do to report and manage any incident.  A review of incident forms for 2021 did not identify any incidents of abuse or neglect.  Resident’s cultural, social, religious, and spiritual beliefs are identified on admission and included in the resident’s care plan/activity plan, to ensure the resident receives services that are acceptable to the resident/relatives.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Māori health plan policy for the organisation provides recognition of Māori values and beliefs.  Family/whānau involvement is encouraged in assessment and care planning and visiting is encouraged.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at the facility interviewed, who identifies as Māori, stated that they have their cultural needs met with any needs identified through the assessment and care planning process.  As per the Māori health plan policy, the resident’s care plan reviewed includes cultural, religious, and spiritual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beliefs or values are discussed and incorporated into the care plan, evidenced in seven care plans reviewed.  Six monthly care plan reviews assess if needs are being met.  Family is invited to attend.  Discussions with relatives confirmed that residents’ values and beliefs are considered.  Residents interviewed confirmed that staff consider their values and beliefs.  Interviews with residents who identified as Pacific or European confirmed that their cultural values are considered with needs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YPD are seen as having their own culture and cultural needs and preferences.  The service caters for this group of residents through focused activities, and encouragement around maintaining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and RNs supervise staff to ensure professional practice is maintained in the service.  The abuse and neglect processes cover harassment and exploitation.  All residents interviewed reported that the staff respect them.  Job descriptions include responsibilities of the position, ethics, advocacy, and legal issues.  The orientation and employee agreement provided to staff on induction includes standards of conduct.  Interviews with caregivers confirmed their understanding of professional boundaries, including the boundaries of the caregiver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Professional boundaries are reconfirmed through education and training sessions, staff meetings and performance management if there is infringement with the person concerned.  Caregivers are trained to provide a supportive relationship based on sense of trust, security, and self-esteem.  Interviews with care staff confirmed that they understood how to build a supportive relationship with each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promotes evidence-based practice and encourages good practice.  Policies and procedures are developed and reviewed by an independent consultant with input from managers and key staff and these are aligned with current accepted best practice.  The content of policy and procedures are sufficiently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nursing staff are on site 24 hours a day.  The general practitioner (GP) reviews residents identified as stable every three months, with more frequent visits for those residents whose condition is not deemed stable.  The GP praised the management for the organisation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visits from the mental health team as required and as per individual resident need, and nurse specialist visits.  There are also visits at least annually from the Nationwide advocate who supports both residents and staff.  Physiotherapy services are provided on site, three hours per week with the support of a physiotherapy assistant for nine hours a week.  All new residents are assessed by the physiotherapist.  Transfer plans are developed and kept electronically, and in the paper-based resident records.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links with the local community and encourages residents to remain independent.  Activities staff lead group activities and also provide one-on-one visits with residents.  Residents who are able, are encouraged and supported to remain active in their communities.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event data is collected and collated.  Action plans are implemented to minimise risk, and processes are reviewed and evaluated.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to guide staff in their responsibility around open disclosure.  Staff are required to record family notification when entering an incident into the system.  All 25 adverse events reviewed met this requirement when notification was appropriate.  Family members interviewed confirmed they are notified following a change of health status of their family member.  Monthly resident meetings provide a venue where issues can be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in place and contact details of interpreters were available.  Families and staff are used in the first instance.  There were no residents on the day of audit who required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Jervois Residential Care provides care for up to 46 residents.  This is one of four aged care facilities owned and managed by Sunrise Healthcare.  The service is certified to provide hospital (medical, geriatric) and rest home level care.  All resident rooms are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Jervois Residential Care has notified the Ministry of Health regarding its intention to reconfigure services to add young people with a disability (YPD) Residential Disability Services – Physical &amp; Intellectual.  This audit verifies the service as appropriate to provide Residential Disability Services – Physical &amp; Intellectual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there were 38 residents.  This included 17 residents at rest home level of care (three using respite services) and 21 hospital level residents (two using respite services).  Residents are under the aged residential care contract, apart from the following: six residents were on the young persons with a disability (YPD) contract (three at rest home level of care and three at hospital level).  There is one resident under a long-term service – chronic health conditions (LTS-CHC) at hospital level of care and two under an ACC contract (both rest home level of care).  One resident is under a mental health contract (hospital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for 2020 has been reviewed with a 2021 business plan documented for the service.  This is reviewed annually by the management team including the facility, clinical and service managers, maintenance staff and the general manager.  The quality and risk management plan (2021) identifies objectives with anticipated outcomes.  The quality plan is reviewed at staff and clinical meetings with quarterly reporting completed by the clinical manager.  </w:t>
            </w:r>
          </w:p>
          <w:p w:rsidR="00EB7645" w:rsidRPr="00BE00C7" w:rsidP="00BE00C7">
            <w:pPr>
              <w:pStyle w:val="OutcomeDescription"/>
              <w:spacing w:before="120" w:after="120"/>
              <w:rPr>
                <w:rFonts w:cs="Arial"/>
                <w:b w:val="0"/>
                <w:lang w:eastAsia="en-NZ"/>
              </w:rPr>
            </w:pPr>
            <w:r w:rsidRPr="00BE00C7">
              <w:rPr>
                <w:rFonts w:cs="Arial"/>
                <w:b w:val="0"/>
                <w:lang w:eastAsia="en-NZ"/>
              </w:rPr>
              <w:t>There are two owners/directors (referred to as the facility manager and service manager) who own this facility and three other facilities.  They provide input into the service with one being responsible for oversight of administration including payroll services and the other for information technology and property management.  Both managers are on site most days of the week to provide oversight and support.  They can relieve for the administrator if on leave.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an RN who has eight years’ experience in aged care nursing and two years in the current role.  They have a Bachelor of Nursing and postgraduate certificates in critical reasoning and bio science.  The clinical manager has maintained a minimum of eight hours of professional development relating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(registered nurse) from a neighbouring facility owned by the same owners covers during the absence of the facility manager.  This clinical manager has a current practising certificate, a postgraduate certificate in advanced nursing, and has worked as a clinical manager at another facility for seven years.  They have been in the role as clinical manager for the neighbouring facility for two years.  This clinical manager was on site during the audit to provide support for the clinical manager of Jervois Residential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system is documented.  Quality and risk performance is reported.  Discussions with the staff during the audit reflected staff involvement in quality and risk management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and family meetings are held each month.  Minutes are maintained.  Annual resident satisfaction surveys were last completed in 2021 and showed a high level of satisfaction with the service.  The 2021 survey showed an improvement in nursing care since the 2020 audit with this reflected in resident, family, and the GP interviews with all expressing a very high level of satisfaction with the clinical manager and registered nurse support.  Results have been collated and discussed with staff and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and associated implementation systems, adhering to relevant standards - including those standards relating to the Health and Disability Services (Safety) Act 2001.  The service's policies are reviewed by a policy review committee.</w:t>
            </w:r>
          </w:p>
          <w:p w:rsidR="00EB7645" w:rsidRPr="00BE00C7" w:rsidP="00BE00C7">
            <w:pPr>
              <w:pStyle w:val="OutcomeDescription"/>
              <w:spacing w:before="120" w:after="120"/>
              <w:rPr>
                <w:rFonts w:cs="Arial"/>
                <w:b w:val="0"/>
                <w:lang w:eastAsia="en-NZ"/>
              </w:rPr>
            </w:pPr>
            <w:r w:rsidRPr="00BE00C7">
              <w:rPr>
                <w:rFonts w:cs="Arial"/>
                <w:b w:val="0"/>
                <w:lang w:eastAsia="en-NZ"/>
              </w:rPr>
              <w:t>The quality monitoring programme is designed to monitor contractual and standards compliance and the quality-of-service delivery in the facility.  The facility has implemented processes to collect, analyse and evaluate data, which is utilised for service improvements.  An internal audit programme is being implemented.  Results are communicated to staff in meetings and on staff noticeboards.  Corrective action plans are documented when opportunities for improvements are identified but evidence was missing to indicate their implementation.  The electronic incident reporting systems allows for discussion of trends and benchmarking across the four sites.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meetings in place to discuss data and ongoing issues.  These include monthly staff, quality, resident and family, and registered nurse (clinical) meetings along with quarterly health and safety and infection control meetings (noting that these topics are also raised in the monthly meetings).  There is an informal manager meeting that includes the facility and service managers and all clinical managers from all four sites owned by the same directors.  Issues are discussed.  Meeting minutes do not always reflect resolution of issues when these are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a health and safety committee.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can be made.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sensor mats, and intentional rounding.  A physiotherapist assesses all new residents and has developed comprehensive transfer plans, which have been reported as being successful in helping to reduce the number of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incident/accident reporting policy that includes definitions and outlines responsibilities including immediate action, reporting, monitoring, corrective action to minimise and debriefing.  Individual incident/accident reports are completed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25 accident/incident forms identified that forms are fully completed and include follow-up by a registered nurse.  They are also reviewed and/or signed off by the clinical manager when completed.  Accident/incident forms are completed when a pressure injury is identified.  Neurological observations are completed for any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Essential notifications are understood by the general manager, although Section 31 reports were not completed for two instances where the police were involved to help find a missing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policies include recruitment, selection, orientation and staff training and development.  Six staff files reviewed (two RNs, two caregivers, an activities coordinator, and the clinical manager) included the recruitment process (interview process, reference checking, police check), and signed employment contracts, job descriptions and completed orientation programmes.  A register of registered nursing staff and other health practitioner practising certificates is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Staff are required to complete written core competencies as part of their induction to the service.  They also complete a competency questionnaire after attending in-services (e.g., manual handling, code of rights, hand washing, fire evacuation). There is an implemented annual education and training plan.  There is an attendance register for each training session.  Staff interviewed stated that training met their needs and helped to enhance practice.  There are 15 caregivers with a mix of staff who have completed level one to four Careerforce training.  Newer staff are rostered on with more senior caregivers. </w:t>
            </w:r>
          </w:p>
          <w:p w:rsidR="00EB7645" w:rsidRPr="00BE00C7" w:rsidP="00BE00C7">
            <w:pPr>
              <w:pStyle w:val="OutcomeDescription"/>
              <w:spacing w:before="120" w:after="120"/>
              <w:rPr>
                <w:rFonts w:cs="Arial"/>
                <w:b w:val="0"/>
                <w:lang w:eastAsia="en-NZ"/>
              </w:rPr>
            </w:pPr>
            <w:r w:rsidRPr="00BE00C7">
              <w:rPr>
                <w:rFonts w:cs="Arial"/>
                <w:b w:val="0"/>
                <w:lang w:eastAsia="en-NZ"/>
              </w:rPr>
              <w:t>Performance appraisals were up-to date in all staff files reviewed of staff who had been employed for one year or longer.</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are supported to maintain their professional competency.  Two of the four registered nurses have completed their interRAI training including the clinical manager, and one registered nurse is in training.  There are implemented competencies for registered nurses including medication, syringe driver, wound and insulin competencies.  Nursing staff also attend specific in-service training programmes (e.g., delirium, advanced care planning, wound management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Rosters implement the staffing rationale.  The clinical manager/RN is available five days a week (Monday – Friday) and is supported by the general manager/RN one – two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wings with staff allocated to two areas rather than wings.  Kauri wing (15 beds total) has eight hospital residents and six rest home residents.  Kowhai (17 beds total) has seven hospital residents and six rest home residents, and Nikau wing (14 beds total) has six hospital residents and five rest home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for Kauri and eight residents from Kowhai wing (including three residents using respite services, one under an LTS-CHC contract, and two YPD) is as follows: AM and PM shifts each have three caregivers including two on a long shift and one on a short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Nikau wing and the rest of Kowhai wing including two respite residents and one under a mental health contract have the following staffing: AM and PM shifts each have two caregivers including one on a long shift and one on a short shift.  There are two caregivers overnight.  RNs are rostered for 12-hour shifts and are on shift at all times.  The clinical manager and the clinical manager from the neighbouring facility are on call. </w:t>
            </w:r>
          </w:p>
          <w:p w:rsidR="00EB7645" w:rsidRPr="00BE00C7" w:rsidP="00BE00C7">
            <w:pPr>
              <w:pStyle w:val="OutcomeDescription"/>
              <w:spacing w:before="120" w:after="120"/>
              <w:rPr>
                <w:rFonts w:cs="Arial"/>
                <w:b w:val="0"/>
                <w:lang w:eastAsia="en-NZ"/>
              </w:rPr>
            </w:pPr>
            <w:r w:rsidRPr="00BE00C7">
              <w:rPr>
                <w:rFonts w:cs="Arial"/>
                <w:b w:val="0"/>
                <w:lang w:eastAsia="en-NZ"/>
              </w:rPr>
              <w:t>There is a minimum of one staff RN on duty 24 hours a day, seven days a week.  Activities staff are available five days a week with additional support for the weekends to assist with activities.  There are separate cleaning staff seven days a week and laundry are taken off site.</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attending to call bells in a timely manner.  Staff interviewed stated that overall the staffing levels are satisfactory and that the managers provide adequate support.  Residents and family interviewed also reported there are sufficient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Residents’ files are protected from unauthorised access.  </w:t>
            </w:r>
          </w:p>
          <w:p w:rsidR="00EB7645" w:rsidRPr="00BE00C7" w:rsidP="00BE00C7">
            <w:pPr>
              <w:pStyle w:val="OutcomeDescription"/>
              <w:spacing w:before="120" w:after="120"/>
              <w:rPr>
                <w:rFonts w:cs="Arial"/>
                <w:b w:val="0"/>
                <w:lang w:eastAsia="en-NZ"/>
              </w:rPr>
            </w:pPr>
            <w:r w:rsidRPr="00BE00C7">
              <w:rPr>
                <w:rFonts w:cs="Arial"/>
                <w:b w:val="0"/>
                <w:lang w:eastAsia="en-NZ"/>
              </w:rPr>
              <w:t>Entries are legible, dated and signed by the relevant caregiver or nurse including designation.  Residents’ files reflected service integration with files documented in both hard copy and electronic copy.  Archived residents’ files are stored securely.  Electronic information is backed up using cloud-based technology.  All computers are individually password protected.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with evidence kept on file (sighted).  The director/facility manager and clinical manager screen all potential enquiries to ensure the service can meet the required level of care and specific needs of the resident.  The service has an information pack available for residents/families/whānau at entry.  The admission information pack outlines access, assessment, and the entry screening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twenty-four hours a day, seven days a week.  Comprehensive information about the service is made available to referrers, potential residents, and their families.  Resident agreements contain all detail required under the Aged Residential Care Agreement.  The seven admission agreements reviewed meet contractual requirements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facility manager and clinical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Care staff interviewed could accurately describe the procedure and documentation required for a resident admission in to the facility, and transfer out of, including post-discharge planning and allied health referrals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self-medicating on the day of audit.  A visit to the resident’s room evidenced safe storage.  A self-medication assessment had been undertaken and signed by both the registered nurse and GP.  All legislative and policy requirements had been met.  While procedures and policy were in place to facilitate younger residents being able to self-medicate, their physical disabilities made this impractical.</w:t>
            </w:r>
          </w:p>
          <w:p w:rsidR="00EB7645" w:rsidRPr="00BE00C7" w:rsidP="00BE00C7">
            <w:pPr>
              <w:pStyle w:val="OutcomeDescription"/>
              <w:spacing w:before="120" w:after="120"/>
              <w:rPr>
                <w:rFonts w:cs="Arial"/>
                <w:b w:val="0"/>
                <w:lang w:eastAsia="en-NZ"/>
              </w:rPr>
            </w:pPr>
            <w:r w:rsidRPr="00BE00C7">
              <w:rPr>
                <w:rFonts w:cs="Arial"/>
                <w:b w:val="0"/>
                <w:lang w:eastAsia="en-NZ"/>
              </w:rPr>
              <w:t>There are no standing orders in use and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medication management and robotic pack system.  Medications are checked on arrival and any pharmacy errors recorded and fed back to the supplying pharmacy.  Registered nurses and medication competent caregivers administer/check medications and all have an up-to-date medication competency and there has been medication education in the last year.  Registered nurses have syringe driver training completed by the hospice.  The medication fridge and room temperatures are checked daily and were within the required ranges.  Eye drops viewed in the medication trolley had been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kitchen manager oversees the procurement of the food and management of the kitchen.  All meals are cooked on site.  The kitchen was observed to be clean and well organised and a current council food grading ‘A’ certificate, expiring May 2022 and a food plan verification completed 4th May 2021, lasting eighteen months.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are monitored and recorded daily.  Food temperatures are checked at all meals.  These are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using a printed dietary profile from the electronic resident management system.  Special diets and likes and dislikes are noted on a kitchen whiteboard.  The four-weekly seasonal menu is approved by an external dietitian, next due October 2021.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satisfaction with the meals.  Additional snacks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Six monthly interRAI assessments and reviews are evident for four of seven resident files sampled as one resident was YPD respite, one ACC and one rest home short-term respite.</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with evidence (YPD in particular) of resident input into the care planning process.  Interventions documented support needs and provided detail to guide care.  Residents and relatives interviewed stated that they were involved in the care planning process.  There was evidence of service integration with documented input from a range of specialist care professionals, including the mental health team, dietitian, wound care specialist and prosthetic limb care specialist.  The care staff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RN will initiate a GP consultation.  Staff stated that they notify family members about any changes in their relative’s health status.  Care plans have been updated as residents’ needs changed.  The general practitioner interviewed was complimentary of the standard of nursing and care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food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five skin tears, one chronic skin condition, one cancerous lesion, two classed as ‘other’, and one grade 2 pressure injury (facility acquired).  There was evidence of wound nurse specialist involvement in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covering Monday to Friday who plans and leads all activities.  The coordinator has a background in gerontology, having studied this at university level overseas.  The coordinator prepares activity resources for weekends, with resources labelled and easily identifiable for caregivers and families to utilise as required.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noticeboards in all areas.  Residents have the choice of a variety of activities which are varied according to resident preference and need.  These include (but are not limited to) exercises, cooking, crafts, games, quizzes, entertainers, pet therapy, art therapy and bingo.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cannot participate in group activities have one-on-one visits and activities such as manicures (observed on day of audit), computer-based activities and hand massage are offered.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outings, and the service shares a wheelchair accessible minibus with a sister facility to use as needed.  There are regular entertainers visiting the facility.  Special events like birthdays, Easter, Mothers’ Day, and Anzac Day are celebrated in collaboration with the kitchen staff who provide birthday cakes and other themed goods for the residents.  There are visiting community groups such as various church denominations, local schools, and kindergarten.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Younger persons have an individual, tailored activity calendar which is evident in their rooms.  Activities include shopping trips, community visits to individual areas of interest and age-appropriate visitors, including members of the international youth fellowship.</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six monthly or earlier if there was a change in resident health status.  Evaluations are documented and identify progress to meeting goals.  A six-monthly care plan review is also completed by the registered nurse with input from caregivers, the GP, the activities coordinator, resident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 interviewed could describe the procedure for when a resident’s condition changes acutely, and more specialist input and support are required.  Discussion with the clinical manager and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are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July 2022.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May 2026.  The hoist and scales are checked annually and are next due to be checked January 2022.  Hot water temperatures have been monitored in resident areas and are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two levels with the basement area for staff only, storage and laundry space.  There is a lift between the floors with code access.  Flooring is safe and appropriate for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equipment to allow personal, rather than communal use and includes items such as walkers, wheelchairs, and hoist slings.  All corridors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decked areas are well maintained.  All external areas have attractive features, including mature gardens, a large aviary,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 and shower facilities are of an appropriate design to meet the needs of the residents.  There are three rooms with full ensuites and four with shared ensuites.  All resident rooms have hand basins.  There are adequate numbers of communal bathrooms/toilets in each wing.  Privacy is assured with the use of ensuites, and communal toilet facilities have a system that indicates if it is engaged or vacant.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Hot water temperatures are monitored monthly and are within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nine rooms that can be doubly occupied within the certified parameters of a maximum 44 residents, and all others are single.  Privacy curtains were in place in the double rooms.  There is adequate room to safely manoeuvre mobility aids and transferring equipment such as hoists in the resident bedrooms.  Bedrooms have external windows allowing adequate light and ventilation.  Residents and families are encouraged to personalise their rooms.  This was evident 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within the facility include a rest home and hospital dining room with a large main lounge where most activities take place.  There are additional lounges where small group or individual activities can take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sufficient lounges and private/quiet seating areas where residents who prefer quieter activities or visitors may sit.  Space and privacy are afforded to younger disabled persons within the service within these communal areas.  The dining areas are homely, inviting, and appropriate for the needs of the residents.  Seating and space are arranged to allow both individual and group activities to occur.  All furniture is safe and suitable for the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staff seven days a week.  Cleaning trolleys are well equipped and kept in locked areas when not in use.  There is a cleaning manual available.  Cleaning and laundry services are monitored through the internal auditing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clothing and linen are laundered off site at a commercial laundry.  Dirty laundry is transported by lift to the basement and external shed where it is collected.  Clean laundry is delivered into the disused laundry area for distribution.  There was adequate clean linen available on the day of audit.  There is one washing machine for use if required for delicate items.  </w:t>
            </w:r>
          </w:p>
          <w:p w:rsidR="00EB7645" w:rsidRPr="00BE00C7" w:rsidP="00BE00C7">
            <w:pPr>
              <w:pStyle w:val="OutcomeDescription"/>
              <w:spacing w:before="120" w:after="120"/>
              <w:rPr>
                <w:rFonts w:cs="Arial"/>
                <w:b w:val="0"/>
                <w:lang w:eastAsia="en-NZ"/>
              </w:rPr>
            </w:pPr>
            <w:r w:rsidRPr="00BE00C7">
              <w:rPr>
                <w:rFonts w:cs="Arial"/>
                <w:b w:val="0"/>
                <w:lang w:eastAsia="en-NZ"/>
              </w:rPr>
              <w:t>Sluice rooms were kept locked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and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including resident evacuation should this become necessary.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in the event of a civil defence emergency including water, food, and supplies (torches, radio, and batteries), emergency power and barbeque.  The facility keeps sufficient emergency water for three litres per person, per day for at least three days for resident use on site.  A gas cooker is available on the premises.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Call bells and sensor mats when activated show on display panels, light outside the resident’s room and also give an audible alert.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available 24 hours a day, seven days a week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policies and procedures are documented and implemented by staff.  The building  is secure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fulfils the role infection control resource nurse and has done for the past one and a half years.  Responsibility for infection control is described in the job description which was evidenced on the day of audit.  The resource nurse oversees infection control for the facility, reviews incidents, and is responsible for the collation of monthly infection events and reports.  The infection control programme is reviewed externally by a consultant who produces benchmarking which is shared between her client base.  The consultant is also available for direction and advice via email and telephone.  An infection control committee comprised of clinical and non-clinical staff meets three-monthly as part of the infection control strategy.</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 Covid/Pandemic plan in place and appropriate amounts of PPE on hand to last for at least two weeks in case of a further lockdown.  During Covid the service held regular virtual meetings with the DHB Covid preparedness team to check policies, procedures, and service readiness.  Staff and residents have commenced Covid vaccinations.</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and Covid scanning and/or manual sign in is mandatory.  Residents are offered the annual influenza vaccine.  There have been no outbreaks in the previous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at Jervois.  The infection control resource nurse liaises with the infection control committee who meet three monthly and as required (more frequently during Covid lockdown).  Information is shared as part of staff meetings and also as part of the registered nurse meetings.  The resource nurse has completed annual training in infection control through an online learning portal.</w:t>
            </w:r>
          </w:p>
          <w:p w:rsidR="00EB7645" w:rsidRPr="00BE00C7" w:rsidP="00BE00C7">
            <w:pPr>
              <w:pStyle w:val="OutcomeDescription"/>
              <w:spacing w:before="120" w:after="120"/>
              <w:rPr>
                <w:rFonts w:cs="Arial"/>
                <w:b w:val="0"/>
                <w:lang w:eastAsia="en-NZ"/>
              </w:rPr>
            </w:pPr>
            <w:r w:rsidRPr="00BE00C7">
              <w:rPr>
                <w:rFonts w:cs="Arial"/>
                <w:b w:val="0"/>
                <w:lang w:eastAsia="en-NZ"/>
              </w:rPr>
              <w:t>External resources and support are available through a contracted consultant, external specialists, microbiologist, GP, wound nurse and DHB when required.  The GP monitors the use of antibiotics.  Overall effectiveness of the programme is monitored by the infection control committee with external consultant oversight.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 contracted consultant and made site-specific by the clinical manager with input from the DHB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resource nurse is responsible for coordinating education and ensuring staff complete the online training available on the ‘care online’ internet-based education system.  Training on infection control is included in the orientation programme.  Staff have completed online infection control study in the last 12 months.  The resource nurse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an integral part of the infection control programme and is described in the facility’s infection control manual.  The infection control resource nurse collates the information obtained through surveillance to determine infection control activities and education needs in the facility.  Infection control data including trends is discussed with the facility manager and at staff meetings.  Meeting minutes are available to staff.  Trends are identified, and analysed, and preventative measures put in place.  Results from laboratory tests are available as required.  There have been no outbreaks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worked to maintain a restraint free environment.  A restraint free environment has been in place since 2017.  The clinical manager stated that restraint practices would only be used when it is clinically indicated and justified, and other de-escalation strategies have been ineffective.  Restraint minimisation policies and procedures include definitions, processes and use of restraints and enablers.  The restraint coordinator is an RN, who was on leave during the audit.  The clinical manager was interviewed in their absence.  The service did not have any restraints or enablers in use on the days of audit.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92"/>
        <w:gridCol w:w="1280"/>
        <w:gridCol w:w="5172"/>
        <w:gridCol w:w="2757"/>
        <w:gridCol w:w="14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internal auditing programme is in place with evidence to support that the audit schedule is being followed.  Corrective action plans are developed where indicated.  Five corrective action plans reviewed indicated that only one of the five plans were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were developed around the internal auditing programme, but documentation did not evidence their implementation.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corrective action plans are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93"/>
        <w:gridCol w:w="1280"/>
        <w:gridCol w:w="1337"/>
        <w:gridCol w:w="982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free environment has been in place since 2017.  There was no use of restraint or enablers in the service on the day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can voluntarily request and consent to enabler use.  There are no enablers in use in the service.  The service has consciously worked to maintain a restraint free environment with communication with family on entry and ongoing to ensure that they are aware of the risks of the use of any restraint and strategies to manage any issues. Interventions in place include monitoring and ongoing assessment of any resident assessed as a high falls risk, ensuring that residents with a need have the use of low-low beds, sensor mats and assessment and exercise sessions with the physiotherapist.  In one file for a resident with a high falls, there were additional interventions including a review of antipsychotic medications, a review of footwear, decluttering of the environment, and monitoring at all times when in the smoking area.  Staff encouraged the resident to use their walking frame.  The clinical manager and RNs have focused on implementation of strategies used to prevent skin injuries, continence issues, management of challenging behaviour, and urinary tract infections.  Staff training is provided around restraint minimisation and management of challenging behaviours on an annual basis.  This includes a restraint competency and online training annually with a questionnaire completed.  All care staff interviewed could describe the restraint free environment, and escalation of any issues to the registered nurse (e.g., skin tears, falls management, management of any challenging behaviour).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Sunrise Healthcare Limited - Jervois Residential Care</w:t>
    </w:r>
    <w:bookmarkEnd w:id="58"/>
    <w:r>
      <w:rPr>
        <w:rFonts w:cs="Arial"/>
        <w:sz w:val="16"/>
        <w:szCs w:val="20"/>
      </w:rPr>
      <w:tab/>
      <w:t xml:space="preserve">Date of Audit: </w:t>
    </w:r>
    <w:bookmarkStart w:id="59" w:name="AuditStartDate1"/>
    <w:r>
      <w:rPr>
        <w:rFonts w:cs="Arial"/>
        <w:sz w:val="16"/>
        <w:szCs w:val="20"/>
      </w:rPr>
      <w:t>14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