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Logan Campbell Retirement Village - Logan Campbell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Logan Campbell Retirement Village</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Logan Campbell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April 2021</w:t>
      </w:r>
      <w:bookmarkEnd w:id="7"/>
      <w:r w:rsidRPr="009418D4">
        <w:rPr>
          <w:rFonts w:cs="Arial"/>
        </w:rPr>
        <w:tab/>
        <w:t xml:space="preserve">End date: </w:t>
      </w:r>
      <w:bookmarkStart w:id="8" w:name="AuditEndDate"/>
      <w:r w:rsidR="00A4268A">
        <w:rPr>
          <w:rFonts w:cs="Arial"/>
        </w:rPr>
        <w:t>14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Ryman Logan Campbell is part of the Ryman Group of retirement villages and aged care facilities.  They provide rest home, dementia and hospital (geriatric and medical) level care for up to 122 residents in the care centre and up to 30 residents at rest home level of care in the serviced apartments.  There were 115 residents at the time of the audit.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The village manager has been in the role three years and has eleven years’ experience working within the aged care industry.  She is supported by an experienced resident services manager and an experienced clinical manager who has been in the role one year. </w:t>
      </w:r>
    </w:p>
    <w:p w:rsidRPr="00A4268A">
      <w:pPr>
        <w:spacing w:before="240" w:line="276" w:lineRule="auto"/>
        <w:rPr>
          <w:rFonts w:eastAsia="Calibri"/>
        </w:rPr>
      </w:pPr>
      <w:r w:rsidRPr="00A4268A">
        <w:rPr>
          <w:rFonts w:eastAsia="Calibri"/>
        </w:rPr>
        <w:t>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surveillance audit did not identify any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management team operate an open-door policy and were visible within the units interacting with residents and families.  Discussions with residents and relatives confirmed that residents and (where appropriate) their families are involved in making care decisions.  Regular contact is maintained with families including if a resident is involved in an incident or has a change in their current health.  There are regular resident meetings and there are relative meetings twice yearly.  Residents and relatives have the opportunity to feedback through meetings and annual surveys.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There are code of rights posters, advocacy pamphlets and complaints forms available in each unit.  The welcome/information pack includes information about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resident services manager and clinical manager are responsible for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A site induction and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Medication policies reflect legislative requirements and guidelines.  Staff responsible for administration of medications complete education and medication competencies.  The medication charts reviewed met all prescribing requirements and were reviewed at least three-monthly.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provided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schedule in place.  There are spacious communal lounges and dining areas in each unit.  The dementia unit allows for safe wandering and areas for group or individual activities.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continues to remain restraint free.  There is a restraint approval group that meet six-monthly to review restraint minimisation strategies.  Staff have received education in de-escalation and challenging behaviours last October 2020.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officer/clinical manager uses the information obtained through surveillance to determine infection control activities, resources and education needs within the facility.  The service engages in benchmarking with other Ryman facilities.  There is a Ryman Covid pandemic plan in place and sufficient supplies of personal protective equipment available.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Code of Rights posters, advocacy pamphlets and complaints forms are available in the main entrance.  Information about complaints is provided on admission.  Interviews with six residents (two rest home and four hospital level of care)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for each unit includes written and verbal complaints, dates and actions taken.  Complaints are being managed in a timely manner, meeting timeframes determined by the Health and Disability Commissioner (HDC).  There have been two complaints in 2020 and two complaints for 2021 to date in the rest home, two complaints in 2020 and two complaints for 2021 in the hospital.  There has been one DHB complaint in March 2020 and one complaint for 2021 to date in the dementia care unit.  The DHB complaint related to resident care for a suspected fracture, was investigated and a corrective action plan implemented to the satisfaction of the DHB and complainant.  The DHB has closed out the complaint October 2020.  The corrective action plan included staff education on management of falls (including hoist use from the floor) and falls prevention, moving and handling sessions, post-falls assessments, compulsory pain assessments following falls and falls case-by-case analysis.  Corrective actions identified continue to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Staff are kept informed of complaints received that are related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Thirteen incident forms reviewed identified the relative/EPOA had been notified.  Three relatives/enduring power of attorney (EPOA) of dementia care residents confirmed they had been notified following a change of health status of the resident.  Relative meetings are held twice a year.  There is evidence of relative involvement in six-monthly MDT (multidisciplinary) reviews.  Residents and relatives are informed of survey results.  There are resident meetings held in the rest home (Tamaki) and hospital (Cornwall) units.  Speakers are invited to attend, such as, field officers for melanoma and macular degeneration.  Families are invited to attend the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Logan Campbell Retirement Village is a Ryman Healthcare facility located in Greenlane.  This 122-bed care centre is located on three levels.  There are also 82 serviced apartments with 30 serviced apartment beds certified for rest home level of care.  All beds in the hospital and rest home are certified as dual purpose.  There was a total of 115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were 43 hospital level residents and 44 rest home level residents (including two residents at rest home level of care in the serviced apartments) and 28 residents in the two dementia wings.  There was one rest home resident on an ACC fully funded contract.  All other residents were under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strategic business plan and quality management plan.  Logan Campbell has village objectives for 2021 including clinical performance, meeting cultural and spiritual needs, provision of food services and human resource management.  Quality objectives and quality initiatives are reviewed regularly to reflect progress to date.  Goals achieved in 2020 include strengthening relationships with the mental health services for the older person and there are now four weekly meetings with the mental health services and an occupational therapist.  There has been a greater focus on palliative care with the introduction of the Te Ara Whakapiri pathway.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at Logan Campbell has leadership experience in the service industry and has been in the role three years.  She is supported by a resident services manager (non-clinical) and an experienced clinical manager who has been in the role for one year.  A notification to HealthCERT for change of clinical manager dated June 2020 was sighted.  The management team is supported by a regional manager and Ryman Christchurch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at least hours of training related to the role including incident/accident investigation/management, cyber security awareness, dementia friend certificate and privacy training.  The clinical manager completed orientation following her appointment and has completed LEAP Ryman training level 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Logan Campbell is implementing a quality and risk management system that is directed by Ryman Christchurch.  Quality and risk performance is reported across facility meetings (management, full facility, clinical RN and EN, caregiver, health and safety, infection control and restraint) and also to the organisation's management team.  Discussions with the managers and staff and review of management and staff meeting minutes demonstrated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full facility (monthly)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scheduled to be completed annually.  The October 2020 survey demonstrated that residents and relatives were very satisfied with the care and services provided.  The two lowest rating services -  activities and food services have quality improvement plans in place (even though they were above the average score).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quality-of-service delivery in the facility and across the organisation.  There are clear guidelines and templates for reporting.  The facility has implemented processes to collect, analyse and evaluate data including accidents/incidents, infections, wounds/pressure injuries and medication errors.  All data and benchmarking is discussed and documented at the facility meetings.  Corrective actions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been completed as scheduled and corrective actions developed where results are less than expected.  Corrective actions have been signed off when completed.  Audit outcomes are discussed and documented at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monthly health and safety committee who are representative of all areas of service.  Health and safety representative (interviewed) the Resident Services Manager has completed level 1 and 2 of external health and safety courses.  A focus group (representative of staff from all areas) meets quarterly to discuss any issues/concerns with their areas.  Risk management, hazard control and emergency policies and procedures are in place.  There are procedures to guide staff in managing clinical and non-clinical emergencies.  Staff report hazards and any near misses which are reviewed by the health and safety committee.  Staff have access to meeting minutes, health and safety updates and videos.  The hazard register (general and specific) was reviewed in June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are inducted and orientated to the facility and are advised of the health and safety programme.  There is also annual health and safety in-service training.  Contractors receive health and safety inductions.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identifying residents at risk of falling while using their mobility equipment.  Falls have showed a reduction for rest home level residents with an average of 1.78 against the group average of 6.1/1000 bed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for each incident/accident with immediate action noted, RN assessment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13 incident/accident reports for the month of March and April 2021 (witnessed and unwitnessed falls, skin tears, challenging behaviours) identified that all were fully completed and include follow-up by a registered nurse.  Neurological observations had been completed for unwitnessed falls where a resident could not confirm if they hit their head or not.  The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able to identify situations that would be reported to statutory authorities.  There have been three Section 31 notifications since the last audit.  There were two notifications for unstageable pressure injuries (September 2019 and April 2021) and one police involvement for resident aggressive behaviour March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(HR) policies including recruitment, selection, orientation and staff training and development.  All ten staff files reviewed (two caregivers, one unit coordinator, two registered nurses, one chef, one laundry, one diversional therapist, clinical manager and village manager) included a signed contract, job description, police check and orientation.  All staff complete an induction programme followed by specific orientation relevant to their role.  Caregivers are buddied with more experienced staff and complete checklists for routine care, personal hygiene and grooming.  Staff interviewed stated there was adequate time allocated to the orientation process.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 practising certificates is maintained within the facility.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in-service calendar that has been completed for 2020 and implemented for 2021.  Annual comprehension surveys are completed.  Staff complete competencies relevant to their role including hand hygiene, medications, moving and handling and first aid.  Training is offered multiple times/days to ensure that staff are able to attend.  External health professions are involved in providing in-service including the physiotherapist, wound care specialist and hospice.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Eleven of seventeen registered nurses, including the clinical manager have completed their interRAI training.  RNs attend journal club meetings and DH study days as offered.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caregivers who work in the dementia units.  Fourteen caregivers have completed the required dementia unit standards, one in progress and two are newly employed and have been at the service less than six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 village manager, resident services manager, and clinical services manager/RN work Monday – Friday.  All beds in the rest home and hospital wings are certified for dual 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three-unit coordinators.  The rest home coordinator/RN works Sunday to Thursday.  The hospital unit coordinator works Tuesday to Saturday and the dementia care unit coordinator works Tuesday to Saturday.  A senior RN covers each of the unit coordinators days off.  There is a RN on all shifts in the hospital wing and a RN on the morning duty in the special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(Tamaki) wing has 46 beds available including three double rooms.  On the day of audit there were 42 rest home residents.  The morning shift is staffed with two long shift (7 am – 3.30 pm) and two short shift (7 am – 1.30 pm) caregivers.  The afternoon shift is staffed with two long (3 pm- 11 pm) and two short shift (4.30 pm-8.30 pm) caregivers and the night shift is staffed with two caregivers (11 pm – 7 am).  One activities coordinator covers five days a week.  There is a fluids assistant 9 am – 1 pm. </w:t>
            </w:r>
          </w:p>
          <w:p w:rsidR="00EB7645" w:rsidRPr="00BE00C7" w:rsidP="00BE00C7">
            <w:pPr>
              <w:pStyle w:val="OutcomeDescription"/>
              <w:spacing w:before="120" w:after="120"/>
              <w:rPr>
                <w:rFonts w:cs="Arial"/>
                <w:b w:val="0"/>
                <w:lang w:eastAsia="en-NZ"/>
              </w:rPr>
            </w:pPr>
            <w:r w:rsidRPr="00BE00C7">
              <w:rPr>
                <w:rFonts w:cs="Arial"/>
                <w:b w:val="0"/>
                <w:lang w:eastAsia="en-NZ"/>
              </w:rPr>
              <w:t>The hospital (Cornwall) wing has 46 beds (includes three double rooms).  There were 43 hospital residents.  The morning shift is staffed with five long shift (7 am – 3.30 pm) and five short shift (7 am – 1.30 pm) caregivers.  The afternoon shift is staffed with four long (3 pm-11 pm) and four short shift (4.30 pm-8.30 pm) caregivers and there is a lounge carer 4 pm-8 pm.  The night shift is staffed with two caregivers (11 pm – 7 am).  One activities coordinator covers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dementia units (A and B) both with 15 beds each.  There are 14 residents in each unit.  Each unit is staffed with one long and one short shift caregiver.  There is an activity coordinator 9.30 am – 6 pm and a lounge carer 9.30 am – 3 pm.  There are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(2 rest home level residents) are staffed with a foreign trained RN/coordinator (who has not completed the New Zealand nursing equivalency) and a senior caregiver covers the days off.  The morning shift is staffed with one long and one short shift caregiver, and the afternoon is staffed with two short shift caregivers (4 pm–9 pm).  After 9 pm, a designated caregiver in the rest home wing covers the serviced apartments.  The call system in the serviced apartments is linked to the caregiver pagers.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medication blister packs for regular and ‘as needed’ (PRN) medications.  Medications are managed appropriately in line with required guidelines and legislation.  Medication fridge and room temperature monitoring is undertaken with evidence of all temperatures being within the required range.  Medication reconciliation is completed on delivery.  All clinical staff who administer medication have been assessed for competency on an annual basis.  Education around safe medication administration has been provided.  Staff were observed to be safely administering medications.  Registered nurses and care staff interviewed were able to describe their role regarding medicine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self-medicating on the day of audit, all of whom had been assessed as competent to self-administer by the RN and GP.  The resident’s rooms were visited and confirmation that the medications were stored securely obtained.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files were reviewed (six rest home, four hospital and four dementia level of care) on the electronic medication management system and all met prescribing requirements.  There was photographic identification and allergy status documented on each medication chart.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Ryman Logan Campbell are all prepared and cooked on site.  The kitchen was observed to be clean and well organised and a current approved food control plan was in evidence which expires 9 May 2021.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senior lead chef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were very satisfied with the standard of food service and the variety and choice of meals provided.  They can offer feedback on a one-to-one basis, at the resident meetings and through resident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interviewed expressed satisfaction with the level of care provided and the GP also expressed satisfaction with the care received by residents and the service in general.  Registered nurses and caregivers report progress against the care plan at least daily.  If external nursing or allied health advice is required the RNs will initiate a referral (e.g., to the wound specialist nurse).  If external medical advice is required, this will be actioned by the GP.  Communication with family is documented in progress notes and on the family communication log.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Monitoring charts are well utilised.  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records include a urinary continence assessment.  Specialist continence advice is available as needed and this could be described by the registered nurse.  Care plans documented the continence care and support required for each resident and continence products were available according to the continence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weighs have been completed in all long-term files sampled.  Referral to dietitian occurs as required, as confirmed in sampled files.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plans and monitoring were in place for all identified wounds.  This included twenty wounds in total, comprised of five minor skin tears, two lesions, seven chronic ulcers, three pressure injuries, one post-surgical wound and two classified as ‘other’ (dermatitis etc).  There were three pressure injuries (all hospital level residents) at the time of audit which show appropriate management, review and documentation.  There was one stage 1 and one stage 2 that were facility acquired and a stage 3 pressure injury that was community acquired.  All wounds have been reviewed in appropriate timeframes and specialised wound management advice through the DHB wound care specialist and Ryman wound champion was in evidence where required.  Dressing supplies are available, and the treatment rooms are stocked for use.  Staff receive regular education on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tools are used for any change in health condition and to develop the ongoing care plans.  When a resident's condition alters, the registered nurse initiates a review and if required, GP or specialist consultation.  Care plans included involvement of allied health professionals in the care of the resident.  This was integrated into the electronic myRyman individualised record.  Evidence was sighted for speech language therapist, physiotherapist, dietitian, hospice, podiatrist, mental health services and wound care specialist (DHB virtual wound clinic).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programme identifies interventions that cover a comprehensive set of goals including managing medical needs/risks.  Key symbols on the resident’s electronic home page identity current and acute needs such as (but not limited to); wound or recent fall.  There was documented evidence of resident/family/whānau involvement in the care planning process in the long-term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and lifestyle coordinators (qualified diversional therapists) and two activities assistants who provide a separate Monday to Friday activity programme for the rest home, and seven-day programme for hospital and dementia care units.  There are separate activities available for the serviced apartment residents.  A company diversional therapist (DT) oversees the activity programmes.  The activity coordinators attend Ryman workshops and on site in-services.  All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includes Ryman minimum requirements for the “Engage” activities programme.  Activities programmes are displayed on noticeboards around the facility and a monthly calendar is delivered to each individual resident.  There is a core programme, which includes the triple A (Active, Ageless, Awareness) exercise programme.  Activities are delivered to meet the cognitive, physical, intellectual and emotional needs of the residents.  One-on-one time is spent with residents who are unable to actively participate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individual and small group activities were observed occurring in the rest home, hospital and dementia care units at various times throughout the days of audit.  Residents in serviced apartments can choose to attend the serviced apartment or rest home/hospital activities.  Entertainment and outings are scheduled weekly.  Community visitors are included in the programme.  Residents are assessed, and with family involvement if applicable, and likes, dislikes, and hobbies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and the resident is encouraged to join in activities that are appropriate and meaningful.  A resident attendance list is maintained for activities, entertainment and outings.  Resident meetings are held two monthly and family meetings six monthly.  There is an opportunity to provide feedback on activities at the meetings and six-monthly reviews.  Resident and relative surveys also provide feedback on the activity programme.  Residents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and care plan review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Seven long-term care files reviewed of permanent residents contained written evaluations completed six-monthly.  Family are invited to attend review meetings (correspondence noted in files reviewed).  The GP reviews the resident at least three monthly and more frequently for residents with more complex problems.  Ongoing nursing evaluations occur daily and/or as required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code of compliance schedule that expires 25 November 2021. There is a full-time maintenance manager and village support maintenance person.  A maintenance register is maintained for the village and requests signed off as completed.  The maintenance manager is available on-call for urgent facility matters.  There are essential contractors available 24/7.  There is a planned maintenance plan that includes electrical testing and tagging and calibration of clinical equipment and testing of electrical beds and hoists.  Hot water temperatures in resident areas are monitored three-monthly as part of the environmental audit and stable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lounges and hallways have wide corridors to promote safe mobility with the use of mobility aids.  All rooms and communal areas allow for safe use of mobility equipment such as hoists and hospital lounge chairs.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gardening and grounds team who maintain external areas.  The gardens provide paths, seating and shade.  Each dementia unit has two secure external decks providing access to open air and small garden areas.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registered nurses interviewed stated they have adequate equipment to safely deliver care for rest home, hospital and dementia level of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coordinator (clinical manager) completes a monthly report identifying any trends/analysis and corrective actions.  Monthly data is reported and discussed at the two monthly infection prevention and control meetings.  Staff are informed of infection control through the variety of facility meetings and graphs are displayed.  Infection control monthly data is benchmarked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have set up their own Covid website with resources and information.  There was a DHB Covid preparedness assessment of the service completed May 2020.  Additional education around Covid isolation, alert levels and personal protective equipment was provided.  Regular zoom sessions with the DHB and head office were held, and sufficient personal protective equipment was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norovirus outbreak in the rest home in September 2019.  In July 2020 there was a suspected influenza outbreak in the dementia care unit.  There is evidence of notifications for both outbreaks to the public health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The clinical manager is the designated restraint coordinator.  Logan Campbell continues to be restraint-free and there were no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is provided around restraint minimisation and enablers, falls prevention, and management of challenging behaviours (last October 2020).  Restraint minimisation audits are completed six-monthly.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Logan Campbell Retirement Village - Logan Campbell Retirement Village</w:t>
    </w:r>
    <w:bookmarkEnd w:id="58"/>
    <w:r>
      <w:rPr>
        <w:rFonts w:cs="Arial"/>
        <w:sz w:val="16"/>
        <w:szCs w:val="20"/>
      </w:rPr>
      <w:tab/>
      <w:t xml:space="preserve">Date of Audit: </w:t>
    </w:r>
    <w:bookmarkStart w:id="59" w:name="AuditStartDate1"/>
    <w:r>
      <w:rPr>
        <w:rFonts w:cs="Arial"/>
        <w:sz w:val="16"/>
        <w:szCs w:val="20"/>
      </w:rPr>
      <w:t>13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