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1B641" w14:textId="77777777" w:rsidR="00460D43" w:rsidRDefault="00AD712E">
      <w:pPr>
        <w:pStyle w:val="Heading1"/>
        <w:rPr>
          <w:rFonts w:cs="Arial"/>
        </w:rPr>
      </w:pPr>
      <w:bookmarkStart w:id="0" w:name="PRMS_RIName"/>
      <w:r>
        <w:rPr>
          <w:rFonts w:cs="Arial"/>
        </w:rPr>
        <w:t>Taranaki District Health Board</w:t>
      </w:r>
      <w:bookmarkEnd w:id="0"/>
    </w:p>
    <w:p w14:paraId="2D99C38A" w14:textId="77777777" w:rsidR="00460D43" w:rsidRDefault="00AD712E">
      <w:pPr>
        <w:pStyle w:val="Heading2"/>
        <w:spacing w:after="0"/>
        <w:rPr>
          <w:rFonts w:cs="Arial"/>
        </w:rPr>
      </w:pPr>
      <w:r>
        <w:rPr>
          <w:rFonts w:cs="Arial"/>
        </w:rPr>
        <w:t>Introduction</w:t>
      </w:r>
    </w:p>
    <w:p w14:paraId="7EEF5C7F" w14:textId="77777777" w:rsidR="00460D43" w:rsidRDefault="00AD712E">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14:paraId="3FBC6C66" w14:textId="77777777" w:rsidR="00460D43" w:rsidRDefault="00AD712E">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w:t>
      </w:r>
      <w:r>
        <w:rPr>
          <w:rFonts w:cs="Arial"/>
        </w:rPr>
        <w:t>d Disability Services (Safety) Act 2001, for submission to the Ministry of Health.</w:t>
      </w:r>
    </w:p>
    <w:p w14:paraId="3A974D10" w14:textId="77777777" w:rsidR="00460D43" w:rsidRDefault="00AD712E">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597427A4" w14:textId="77777777" w:rsidR="00460D43" w:rsidRDefault="00AD712E" w:rsidP="005A5115">
      <w:pPr>
        <w:spacing w:before="240" w:after="240"/>
        <w:rPr>
          <w:rFonts w:cs="Arial"/>
        </w:rPr>
      </w:pPr>
      <w:r>
        <w:rPr>
          <w:rFonts w:cs="Arial"/>
        </w:rPr>
        <w:t xml:space="preserve">You can view </w:t>
      </w:r>
      <w:r>
        <w:rPr>
          <w:rFonts w:cs="Arial"/>
        </w:rPr>
        <w:t xml:space="preserve">a full copy of the standards on the Ministry of Health’s website by clicking </w:t>
      </w:r>
      <w:hyperlink r:id="rId11" w:history="1">
        <w:r>
          <w:rPr>
            <w:rStyle w:val="Hyperlink"/>
            <w:rFonts w:cs="Arial"/>
          </w:rPr>
          <w:t>here</w:t>
        </w:r>
      </w:hyperlink>
      <w:r>
        <w:rPr>
          <w:rFonts w:cs="Arial"/>
        </w:rPr>
        <w:t>.</w:t>
      </w:r>
    </w:p>
    <w:p w14:paraId="5821ADB2" w14:textId="77777777" w:rsidR="00460D43" w:rsidRDefault="00AD712E">
      <w:pPr>
        <w:spacing w:before="240" w:after="240"/>
        <w:rPr>
          <w:rFonts w:cs="Arial"/>
          <w:lang w:eastAsia="en-NZ"/>
        </w:rPr>
      </w:pPr>
      <w:r>
        <w:rPr>
          <w:rFonts w:cs="Arial"/>
          <w:lang w:eastAsia="en-NZ"/>
        </w:rPr>
        <w:t>The sp</w:t>
      </w:r>
      <w:r>
        <w:rPr>
          <w:rFonts w:cs="Arial"/>
          <w:lang w:eastAsia="en-NZ"/>
        </w:rPr>
        <w:t>ecifics of this audit included:</w:t>
      </w:r>
    </w:p>
    <w:p w14:paraId="1F116DD1" w14:textId="77777777" w:rsidR="009D18F5" w:rsidRPr="009D18F5" w:rsidRDefault="00AD712E" w:rsidP="009D18F5">
      <w:pPr>
        <w:pBdr>
          <w:top w:val="single" w:sz="4" w:space="1" w:color="auto"/>
          <w:left w:val="single" w:sz="4" w:space="4" w:color="auto"/>
          <w:bottom w:val="single" w:sz="4" w:space="1" w:color="auto"/>
          <w:right w:val="single" w:sz="4" w:space="4" w:color="auto"/>
        </w:pBdr>
        <w:rPr>
          <w:rFonts w:cs="Arial"/>
        </w:rPr>
      </w:pPr>
    </w:p>
    <w:p w14:paraId="7AAEB0D5" w14:textId="77777777" w:rsidR="005A5115" w:rsidRPr="009418D4" w:rsidRDefault="00AD712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Taranaki District Health Board</w:t>
      </w:r>
      <w:bookmarkEnd w:id="4"/>
    </w:p>
    <w:p w14:paraId="1AC2C747" w14:textId="77777777" w:rsidR="005A5115" w:rsidRPr="009418D4" w:rsidRDefault="00AD712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Hawera Hospital||Taranaki Base Hospital</w:t>
      </w:r>
      <w:bookmarkEnd w:id="5"/>
    </w:p>
    <w:p w14:paraId="3D63B7D9" w14:textId="77777777" w:rsidR="005A5115" w:rsidRPr="009418D4" w:rsidRDefault="00AD712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Mental health services; Hospital </w:t>
      </w:r>
      <w:r>
        <w:rPr>
          <w:rFonts w:cs="Arial"/>
        </w:rPr>
        <w:t>services - Children's health services; Hospital services - Surgical services; Hospital services - Maternity services</w:t>
      </w:r>
      <w:bookmarkEnd w:id="6"/>
    </w:p>
    <w:p w14:paraId="3590DD7E" w14:textId="77777777" w:rsidR="005A5115" w:rsidRPr="009418D4" w:rsidRDefault="00AD712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May 2021</w:t>
      </w:r>
      <w:bookmarkEnd w:id="7"/>
      <w:r w:rsidRPr="009418D4">
        <w:rPr>
          <w:rFonts w:cs="Arial"/>
        </w:rPr>
        <w:tab/>
        <w:t xml:space="preserve">End date: </w:t>
      </w:r>
      <w:bookmarkStart w:id="8" w:name="AuditEndDate"/>
      <w:r>
        <w:rPr>
          <w:rFonts w:cs="Arial"/>
        </w:rPr>
        <w:t>28 May 2021</w:t>
      </w:r>
      <w:bookmarkEnd w:id="8"/>
    </w:p>
    <w:p w14:paraId="118E0690" w14:textId="77777777" w:rsidR="005A5115" w:rsidRPr="009418D4" w:rsidRDefault="00AD712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09E8959" w14:textId="77777777" w:rsidR="0077079A" w:rsidRPr="009418D4" w:rsidRDefault="00AD712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w:t>
      </w:r>
      <w:r w:rsidRPr="009D18F5">
        <w:rPr>
          <w:rFonts w:cs="Arial"/>
          <w:b/>
        </w:rPr>
        <w:t>s all premises included in the audit on the first day of the audit:</w:t>
      </w:r>
      <w:r w:rsidRPr="009418D4">
        <w:rPr>
          <w:rFonts w:cs="Arial"/>
        </w:rPr>
        <w:t xml:space="preserve"> </w:t>
      </w:r>
      <w:bookmarkStart w:id="10" w:name="BedsOccupied"/>
      <w:r w:rsidRPr="009418D4">
        <w:rPr>
          <w:rFonts w:cs="Arial"/>
        </w:rPr>
        <w:t>176</w:t>
      </w:r>
      <w:bookmarkEnd w:id="10"/>
    </w:p>
    <w:p w14:paraId="2D07D64D" w14:textId="77777777" w:rsidR="009D18F5" w:rsidRDefault="00AD712E" w:rsidP="009D18F5">
      <w:pPr>
        <w:pBdr>
          <w:top w:val="single" w:sz="4" w:space="1" w:color="auto"/>
          <w:left w:val="single" w:sz="4" w:space="4" w:color="auto"/>
          <w:bottom w:val="single" w:sz="4" w:space="1" w:color="auto"/>
          <w:right w:val="single" w:sz="4" w:space="4" w:color="auto"/>
        </w:pBdr>
        <w:rPr>
          <w:rFonts w:cs="Arial"/>
          <w:lang w:eastAsia="en-NZ"/>
        </w:rPr>
      </w:pPr>
    </w:p>
    <w:p w14:paraId="20B51FF1" w14:textId="77777777" w:rsidR="00460D43" w:rsidRDefault="00AD712E">
      <w:pPr>
        <w:pStyle w:val="Heading1"/>
        <w:rPr>
          <w:rFonts w:cs="Arial"/>
        </w:rPr>
      </w:pPr>
      <w:r>
        <w:rPr>
          <w:rFonts w:cs="Arial"/>
        </w:rPr>
        <w:lastRenderedPageBreak/>
        <w:t>Executive summary of the audit</w:t>
      </w:r>
    </w:p>
    <w:p w14:paraId="5F971D77" w14:textId="77777777" w:rsidR="00460D43" w:rsidRDefault="00AD712E">
      <w:pPr>
        <w:pStyle w:val="Heading2"/>
        <w:rPr>
          <w:rFonts w:cs="Arial"/>
        </w:rPr>
      </w:pPr>
      <w:r>
        <w:rPr>
          <w:rFonts w:cs="Arial"/>
        </w:rPr>
        <w:t>Introduction</w:t>
      </w:r>
    </w:p>
    <w:p w14:paraId="435251EB" w14:textId="77777777" w:rsidR="00460D43" w:rsidRDefault="00AD712E">
      <w:pPr>
        <w:spacing w:before="240" w:after="240"/>
        <w:rPr>
          <w:rFonts w:cs="Arial"/>
          <w:lang w:eastAsia="en-NZ"/>
        </w:rPr>
      </w:pPr>
      <w:r>
        <w:rPr>
          <w:rFonts w:cs="Arial"/>
          <w:lang w:eastAsia="en-NZ"/>
        </w:rPr>
        <w:t xml:space="preserve">This section contains a summary of the auditors’ findings for this audit.  The information is grouped into the six outcome areas contained </w:t>
      </w:r>
      <w:r>
        <w:rPr>
          <w:rFonts w:cs="Arial"/>
          <w:lang w:eastAsia="en-NZ"/>
        </w:rPr>
        <w:t>within the Health and Disability Services Standards:</w:t>
      </w:r>
    </w:p>
    <w:p w14:paraId="481D8F98" w14:textId="77777777" w:rsidR="00460D43" w:rsidRDefault="00AD712E">
      <w:pPr>
        <w:pStyle w:val="ListParagraph"/>
        <w:numPr>
          <w:ilvl w:val="0"/>
          <w:numId w:val="1"/>
        </w:numPr>
        <w:spacing w:before="240" w:after="240"/>
        <w:rPr>
          <w:rFonts w:cs="Arial"/>
          <w:lang w:eastAsia="en-NZ"/>
        </w:rPr>
      </w:pPr>
      <w:r>
        <w:rPr>
          <w:rFonts w:cs="Arial"/>
          <w:lang w:eastAsia="en-NZ"/>
        </w:rPr>
        <w:t>consumer rights</w:t>
      </w:r>
    </w:p>
    <w:p w14:paraId="311A9149" w14:textId="77777777" w:rsidR="00460D43" w:rsidRDefault="00AD712E">
      <w:pPr>
        <w:pStyle w:val="ListParagraph"/>
        <w:numPr>
          <w:ilvl w:val="0"/>
          <w:numId w:val="1"/>
        </w:numPr>
        <w:spacing w:before="240" w:after="240"/>
        <w:rPr>
          <w:rFonts w:cs="Arial"/>
          <w:lang w:eastAsia="en-NZ"/>
        </w:rPr>
      </w:pPr>
      <w:r>
        <w:rPr>
          <w:rFonts w:cs="Arial"/>
          <w:lang w:eastAsia="en-NZ"/>
        </w:rPr>
        <w:t>organisational management</w:t>
      </w:r>
    </w:p>
    <w:p w14:paraId="634479E7" w14:textId="77777777" w:rsidR="00460D43" w:rsidRDefault="00AD712E">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550591B2" w14:textId="77777777" w:rsidR="00460D43" w:rsidRDefault="00AD712E">
      <w:pPr>
        <w:pStyle w:val="ListParagraph"/>
        <w:numPr>
          <w:ilvl w:val="0"/>
          <w:numId w:val="1"/>
        </w:numPr>
        <w:spacing w:before="240" w:after="240"/>
        <w:rPr>
          <w:rFonts w:cs="Arial"/>
          <w:lang w:eastAsia="en-NZ"/>
        </w:rPr>
      </w:pPr>
      <w:r>
        <w:rPr>
          <w:rFonts w:cs="Arial"/>
          <w:lang w:eastAsia="en-NZ"/>
        </w:rPr>
        <w:t>safe and appropriate environment</w:t>
      </w:r>
    </w:p>
    <w:p w14:paraId="51B34064" w14:textId="77777777" w:rsidR="00460D43" w:rsidRDefault="00AD712E">
      <w:pPr>
        <w:pStyle w:val="ListParagraph"/>
        <w:numPr>
          <w:ilvl w:val="0"/>
          <w:numId w:val="1"/>
        </w:numPr>
        <w:spacing w:before="240" w:after="240"/>
        <w:rPr>
          <w:rFonts w:cs="Arial"/>
          <w:lang w:eastAsia="en-NZ"/>
        </w:rPr>
      </w:pPr>
      <w:r>
        <w:rPr>
          <w:rFonts w:cs="Arial"/>
          <w:lang w:eastAsia="en-NZ"/>
        </w:rPr>
        <w:t>restraint minimisation and safe practice</w:t>
      </w:r>
    </w:p>
    <w:p w14:paraId="64BA174A" w14:textId="77777777" w:rsidR="00460D43" w:rsidRDefault="00AD712E">
      <w:pPr>
        <w:pStyle w:val="ListParagraph"/>
        <w:numPr>
          <w:ilvl w:val="0"/>
          <w:numId w:val="1"/>
        </w:numPr>
        <w:spacing w:before="240" w:after="240"/>
        <w:rPr>
          <w:rFonts w:cs="Arial"/>
          <w:lang w:eastAsia="en-NZ"/>
        </w:rPr>
      </w:pPr>
      <w:r>
        <w:rPr>
          <w:rFonts w:cs="Arial"/>
          <w:lang w:eastAsia="en-NZ"/>
        </w:rPr>
        <w:t xml:space="preserve">infection </w:t>
      </w:r>
      <w:r>
        <w:rPr>
          <w:rFonts w:cs="Arial"/>
          <w:lang w:eastAsia="en-NZ"/>
        </w:rPr>
        <w:t>prevention and control.</w:t>
      </w:r>
    </w:p>
    <w:p w14:paraId="521C5F5A" w14:textId="77777777" w:rsidR="00460D43" w:rsidRDefault="00AD712E">
      <w:pPr>
        <w:pStyle w:val="Heading2"/>
        <w:spacing w:after="0"/>
        <w:rPr>
          <w:rFonts w:cs="Arial"/>
        </w:rPr>
      </w:pPr>
      <w:r>
        <w:rPr>
          <w:rFonts w:cs="Arial"/>
        </w:rPr>
        <w:t>General overview of the audit</w:t>
      </w:r>
    </w:p>
    <w:p w14:paraId="2582E7FF" w14:textId="77777777" w:rsidR="00E536CC" w:rsidRDefault="00AD712E">
      <w:pPr>
        <w:spacing w:before="240" w:line="276" w:lineRule="auto"/>
        <w:rPr>
          <w:rFonts w:eastAsia="Calibri"/>
        </w:rPr>
      </w:pPr>
      <w:bookmarkStart w:id="11" w:name="GeneralOverview"/>
      <w:r w:rsidRPr="00A4268A">
        <w:rPr>
          <w:rFonts w:eastAsia="Calibri"/>
        </w:rPr>
        <w:t xml:space="preserve">Taranaki District Health Board provides health services to the people of Taranaki. The audit team was provided with a comprehensive self-assessment and supporting evidence prior to the on-site visit. </w:t>
      </w:r>
    </w:p>
    <w:p w14:paraId="2A0AF57C" w14:textId="77777777" w:rsidR="0077079A" w:rsidRPr="00A4268A" w:rsidRDefault="00AD712E">
      <w:pPr>
        <w:spacing w:before="240" w:line="276" w:lineRule="auto"/>
        <w:rPr>
          <w:rFonts w:eastAsia="Calibri"/>
        </w:rPr>
      </w:pPr>
      <w:r w:rsidRPr="00A4268A">
        <w:rPr>
          <w:rFonts w:eastAsia="Calibri"/>
        </w:rPr>
        <w:t>The audit team visited Hawera hospital and Taranaki Bas</w:t>
      </w:r>
      <w:r w:rsidRPr="00A4268A">
        <w:rPr>
          <w:rFonts w:eastAsia="Calibri"/>
        </w:rPr>
        <w:t>e hospital. Five individual patient tracers and four systems tracers were completed during the on-site audit.</w:t>
      </w:r>
    </w:p>
    <w:p w14:paraId="01785358" w14:textId="77777777" w:rsidR="0077079A" w:rsidRPr="00A4268A" w:rsidRDefault="00AD712E">
      <w:pPr>
        <w:spacing w:before="240" w:line="276" w:lineRule="auto"/>
        <w:rPr>
          <w:rFonts w:eastAsia="Calibri"/>
        </w:rPr>
      </w:pPr>
      <w:r w:rsidRPr="00A4268A">
        <w:rPr>
          <w:rFonts w:eastAsia="Calibri"/>
        </w:rPr>
        <w:t>A risk management framework and plan are in place. Development of the clinical governance framework has been finalised and clinical governance act</w:t>
      </w:r>
      <w:r w:rsidRPr="00A4268A">
        <w:rPr>
          <w:rFonts w:eastAsia="Calibri"/>
        </w:rPr>
        <w:t xml:space="preserve">ivities implemented since the last audit. </w:t>
      </w:r>
    </w:p>
    <w:p w14:paraId="0021FA6A" w14:textId="77777777" w:rsidR="0077079A" w:rsidRPr="00A4268A" w:rsidRDefault="00AD712E">
      <w:pPr>
        <w:spacing w:before="240" w:line="276" w:lineRule="auto"/>
        <w:rPr>
          <w:rFonts w:eastAsia="Calibri"/>
        </w:rPr>
      </w:pPr>
      <w:r w:rsidRPr="00A4268A">
        <w:rPr>
          <w:rFonts w:eastAsia="Calibri"/>
        </w:rPr>
        <w:t>All facilities vary in age and are maintained. The risks related to managing patients in mature buildings are known to the Board. Preparation for stage two of the site development is underway. Ongoing improvements</w:t>
      </w:r>
      <w:r w:rsidRPr="00A4268A">
        <w:rPr>
          <w:rFonts w:eastAsia="Calibri"/>
        </w:rPr>
        <w:t xml:space="preserve"> have been demonstrated since the last audit and include the referral and booking system, acute pathway, planned care, bed management, and the safe staffing programme alongside clinical quality activities. Patients interviewed were positive about their exp</w:t>
      </w:r>
      <w:r w:rsidRPr="00A4268A">
        <w:rPr>
          <w:rFonts w:eastAsia="Calibri"/>
        </w:rPr>
        <w:t>erience.</w:t>
      </w:r>
    </w:p>
    <w:p w14:paraId="329064C4" w14:textId="77777777" w:rsidR="0077079A" w:rsidRPr="00A4268A" w:rsidRDefault="00AD712E">
      <w:pPr>
        <w:spacing w:before="240" w:line="276" w:lineRule="auto"/>
        <w:rPr>
          <w:rFonts w:eastAsia="Calibri"/>
        </w:rPr>
      </w:pPr>
      <w:r w:rsidRPr="00A4268A">
        <w:rPr>
          <w:rFonts w:eastAsia="Calibri"/>
        </w:rPr>
        <w:lastRenderedPageBreak/>
        <w:t>The previous corrective actions relating to complaints, clinical governance, policies and procedures, quality data availability, corrective actions, the risk management programme, performance appraisals, mandatory training, nursing assessments, pa</w:t>
      </w:r>
      <w:r w:rsidRPr="00A4268A">
        <w:rPr>
          <w:rFonts w:eastAsia="Calibri"/>
        </w:rPr>
        <w:t xml:space="preserve">tient goals, documentation, medication, policies and procedures, isolation procedures, antimicrobial usage and medication management have been closed out. </w:t>
      </w:r>
    </w:p>
    <w:p w14:paraId="68767147" w14:textId="77777777" w:rsidR="0077079A" w:rsidRPr="00A4268A" w:rsidRDefault="00AD712E">
      <w:pPr>
        <w:spacing w:before="240" w:line="276" w:lineRule="auto"/>
        <w:rPr>
          <w:rFonts w:eastAsia="Calibri"/>
        </w:rPr>
      </w:pPr>
      <w:r w:rsidRPr="00A4268A">
        <w:rPr>
          <w:rFonts w:eastAsia="Calibri"/>
        </w:rPr>
        <w:t>There are eight corrective actions resulting from this audit. Previous corrective actions relating t</w:t>
      </w:r>
      <w:r w:rsidRPr="00A4268A">
        <w:rPr>
          <w:rFonts w:eastAsia="Calibri"/>
        </w:rPr>
        <w:t>o advance directives, nursing assessment, patient goals and transfer documentation remain open. Additional corrective actions resulting from this audit include the escalation pathway documentation, enablers, infection prevention and medication.</w:t>
      </w:r>
    </w:p>
    <w:bookmarkEnd w:id="11"/>
    <w:p w14:paraId="22E49C78" w14:textId="77777777" w:rsidR="0077079A" w:rsidRPr="00A4268A" w:rsidRDefault="0077079A">
      <w:pPr>
        <w:spacing w:before="240" w:line="276" w:lineRule="auto"/>
        <w:rPr>
          <w:rFonts w:eastAsia="Calibri"/>
        </w:rPr>
      </w:pPr>
    </w:p>
    <w:p w14:paraId="37535BBF" w14:textId="77777777" w:rsidR="00460D43" w:rsidRDefault="00AD712E" w:rsidP="000E6E02">
      <w:pPr>
        <w:pStyle w:val="Heading2"/>
        <w:spacing w:before="0"/>
        <w:rPr>
          <w:rFonts w:cs="Arial"/>
        </w:rPr>
      </w:pPr>
      <w:r>
        <w:rPr>
          <w:rFonts w:cs="Arial"/>
        </w:rPr>
        <w:t>Consumer r</w:t>
      </w:r>
      <w:r>
        <w:rPr>
          <w:rFonts w:cs="Arial"/>
        </w:rPr>
        <w:t>ights</w:t>
      </w:r>
    </w:p>
    <w:p w14:paraId="13F3720D" w14:textId="77777777" w:rsidR="00460D43" w:rsidRDefault="00AD712E">
      <w:pPr>
        <w:spacing w:before="240" w:line="276" w:lineRule="auto"/>
        <w:rPr>
          <w:rFonts w:eastAsia="Calibri"/>
        </w:rPr>
      </w:pPr>
      <w:bookmarkStart w:id="12" w:name="ConsumerRights"/>
      <w:r w:rsidRPr="00A4268A">
        <w:rPr>
          <w:rFonts w:eastAsia="Calibri"/>
        </w:rPr>
        <w:t xml:space="preserve">Informed consent was reviewed across all </w:t>
      </w:r>
      <w:r w:rsidRPr="00A4268A">
        <w:rPr>
          <w:rFonts w:eastAsia="Calibri"/>
        </w:rPr>
        <w:t>areas visited. Patients confirmed they are provided with information to make informed choices and staff interviews confirmed staff are aware of their obligation to ensure informed consent was obtained. Processes are in place to ensure consent is obtained f</w:t>
      </w:r>
      <w:r w:rsidRPr="00A4268A">
        <w:rPr>
          <w:rFonts w:eastAsia="Calibri"/>
        </w:rPr>
        <w:t>or procedures.</w:t>
      </w:r>
    </w:p>
    <w:p w14:paraId="7D6B1105" w14:textId="77777777" w:rsidR="0077079A" w:rsidRPr="00A4268A" w:rsidRDefault="00AD712E">
      <w:pPr>
        <w:spacing w:before="240" w:line="276" w:lineRule="auto"/>
        <w:rPr>
          <w:rFonts w:eastAsia="Calibri"/>
        </w:rPr>
      </w:pPr>
      <w:r w:rsidRPr="00A4268A">
        <w:rPr>
          <w:rFonts w:eastAsia="Calibri"/>
        </w:rPr>
        <w:t>There is an electronic system in place across Taranaki District Health Board that ensures all complaints, including verbal complaints are monitored through a central repository. Processes include support to manage timelines of investigations</w:t>
      </w:r>
      <w:r w:rsidRPr="00A4268A">
        <w:rPr>
          <w:rFonts w:eastAsia="Calibri"/>
        </w:rPr>
        <w:t xml:space="preserve"> and closure of the complaint by the designated owner responsible for management of the complaint. Oversite of the complaints system is managed by dedicated senior staff. The complaint process was understood by staff, and patient and family interviews conf</w:t>
      </w:r>
      <w:r w:rsidRPr="00A4268A">
        <w:rPr>
          <w:rFonts w:eastAsia="Calibri"/>
        </w:rPr>
        <w:t xml:space="preserve">irmed they are aware of their right to make a written or verbal complaint.  </w:t>
      </w:r>
    </w:p>
    <w:bookmarkEnd w:id="12"/>
    <w:p w14:paraId="0F78E4C8" w14:textId="77777777" w:rsidR="0077079A" w:rsidRPr="00A4268A" w:rsidRDefault="0077079A">
      <w:pPr>
        <w:spacing w:before="240" w:line="276" w:lineRule="auto"/>
        <w:rPr>
          <w:rFonts w:eastAsia="Calibri"/>
        </w:rPr>
      </w:pPr>
    </w:p>
    <w:p w14:paraId="2BED78CA" w14:textId="77777777" w:rsidR="00460D43" w:rsidRDefault="00AD712E" w:rsidP="000E6E02">
      <w:pPr>
        <w:pStyle w:val="Heading2"/>
        <w:spacing w:before="0"/>
        <w:rPr>
          <w:rFonts w:cs="Arial"/>
        </w:rPr>
      </w:pPr>
      <w:r>
        <w:rPr>
          <w:rFonts w:cs="Arial"/>
        </w:rPr>
        <w:t>Organisational management</w:t>
      </w:r>
    </w:p>
    <w:p w14:paraId="503FB6B2" w14:textId="77777777" w:rsidR="00460D43" w:rsidRDefault="00AD712E">
      <w:pPr>
        <w:spacing w:before="240" w:line="276" w:lineRule="auto"/>
        <w:rPr>
          <w:rFonts w:eastAsia="Calibri"/>
        </w:rPr>
      </w:pPr>
      <w:bookmarkStart w:id="13" w:name="OrganisationalManagement"/>
      <w:r w:rsidRPr="00A4268A">
        <w:rPr>
          <w:rFonts w:eastAsia="Calibri"/>
        </w:rPr>
        <w:t xml:space="preserve">Leadership to the organisation is provided by the chief executive and hospital leadership, supported by the Board. A quality and risk management framework is established and </w:t>
      </w:r>
      <w:r w:rsidRPr="00A4268A">
        <w:rPr>
          <w:rFonts w:eastAsia="Calibri"/>
        </w:rPr>
        <w:t>understood by staff across the organisation. Risks to the organisation are understood and mitigation strategies are monitored at an executive and Board level. Incidents, accidents, complaints, and significant events are reported electronically. An informat</w:t>
      </w:r>
      <w:r w:rsidRPr="00A4268A">
        <w:rPr>
          <w:rFonts w:eastAsia="Calibri"/>
        </w:rPr>
        <w:t xml:space="preserve">ion management system provides reporting and analysis of data. Significant incidents are </w:t>
      </w:r>
      <w:r w:rsidRPr="00A4268A">
        <w:rPr>
          <w:rFonts w:eastAsia="Calibri"/>
        </w:rPr>
        <w:lastRenderedPageBreak/>
        <w:t>investigated using a root cause analysis methodology. Open disclosure to patients and their families is practiced. The patient/whānau experience informs and supports t</w:t>
      </w:r>
      <w:r w:rsidRPr="00A4268A">
        <w:rPr>
          <w:rFonts w:eastAsia="Calibri"/>
        </w:rPr>
        <w:t>he patient safety focus demonstrated across the organisation.</w:t>
      </w:r>
    </w:p>
    <w:p w14:paraId="3750B849" w14:textId="77777777" w:rsidR="0077079A" w:rsidRPr="00A4268A" w:rsidRDefault="00AD712E">
      <w:pPr>
        <w:spacing w:before="240" w:line="276" w:lineRule="auto"/>
        <w:rPr>
          <w:rFonts w:eastAsia="Calibri"/>
        </w:rPr>
      </w:pPr>
      <w:r w:rsidRPr="00A4268A">
        <w:rPr>
          <w:rFonts w:eastAsia="Calibri"/>
        </w:rPr>
        <w:t>Organisational policies and procedures are managed through an electronic document management system. Quality activities including clinical audits, are undertaken, and driven within the service d</w:t>
      </w:r>
      <w:r w:rsidRPr="00A4268A">
        <w:rPr>
          <w:rFonts w:eastAsia="Calibri"/>
        </w:rPr>
        <w:t>irectorates supported by the clinical governance support unit. These activities are linked with the quality and risk management framework. Clinician involvement and understanding of quality improvement initiatives is evident in service delivery areas. Data</w:t>
      </w:r>
      <w:r w:rsidRPr="00A4268A">
        <w:rPr>
          <w:rFonts w:eastAsia="Calibri"/>
        </w:rPr>
        <w:t xml:space="preserve"> collection, analysis, monitoring, and reporting is wide-ranging and supports decision making across the organisation. Corrective action management processes are effectively implemented. A culture of quality improvement continues to be a driver of patient </w:t>
      </w:r>
      <w:r w:rsidRPr="00A4268A">
        <w:rPr>
          <w:rFonts w:eastAsia="Calibri"/>
        </w:rPr>
        <w:t>safety. Human resource management is centralised and provides support across the organisation. The inpatient services are provided by a skilled workforce. There are processes in place to ensure patient safety.</w:t>
      </w:r>
    </w:p>
    <w:bookmarkEnd w:id="13"/>
    <w:p w14:paraId="2EBA9865" w14:textId="77777777" w:rsidR="0077079A" w:rsidRPr="00A4268A" w:rsidRDefault="0077079A">
      <w:pPr>
        <w:spacing w:before="240" w:line="276" w:lineRule="auto"/>
        <w:rPr>
          <w:rFonts w:eastAsia="Calibri"/>
        </w:rPr>
      </w:pPr>
    </w:p>
    <w:p w14:paraId="4775264B" w14:textId="77777777" w:rsidR="00460D43" w:rsidRDefault="00AD712E" w:rsidP="000E6E02">
      <w:pPr>
        <w:pStyle w:val="Heading2"/>
        <w:spacing w:before="0"/>
        <w:rPr>
          <w:rFonts w:cs="Arial"/>
        </w:rPr>
      </w:pPr>
      <w:r>
        <w:rPr>
          <w:rFonts w:cs="Arial"/>
        </w:rPr>
        <w:t>Continuum of service delivery</w:t>
      </w:r>
    </w:p>
    <w:p w14:paraId="744AEFA6" w14:textId="77777777" w:rsidR="00E536CC" w:rsidRPr="005E14A4" w:rsidRDefault="00AD712E" w:rsidP="00621629">
      <w:pPr>
        <w:spacing w:before="240" w:line="276" w:lineRule="auto"/>
        <w:rPr>
          <w:rFonts w:eastAsia="Calibri"/>
        </w:rPr>
      </w:pPr>
      <w:bookmarkStart w:id="14" w:name="ContinuumOfServiceDelivery"/>
      <w:r w:rsidRPr="00A4268A">
        <w:rPr>
          <w:rFonts w:eastAsia="Calibri"/>
        </w:rPr>
        <w:t xml:space="preserve">Patient journeys were followed through five individual patient tracers in the: medical; surgical; maternity; child health and mental health services. </w:t>
      </w:r>
    </w:p>
    <w:p w14:paraId="79D89C6D" w14:textId="77777777" w:rsidR="0077079A" w:rsidRPr="00A4268A" w:rsidRDefault="00AD712E" w:rsidP="00621629">
      <w:pPr>
        <w:spacing w:before="240" w:line="276" w:lineRule="auto"/>
        <w:rPr>
          <w:rFonts w:eastAsia="Calibri"/>
        </w:rPr>
      </w:pPr>
      <w:r w:rsidRPr="00A4268A">
        <w:rPr>
          <w:rFonts w:eastAsia="Calibri"/>
        </w:rPr>
        <w:t>The review of individual patient journeys and incidental sampling of patients’ clinical records demonstra</w:t>
      </w:r>
      <w:r w:rsidRPr="00A4268A">
        <w:rPr>
          <w:rFonts w:eastAsia="Calibri"/>
        </w:rPr>
        <w:t>ted a multidisciplinary team approach to patient care. The medical staff and allied health professionals, complete assessments at the patient’s initial consultation and reassessments occur thereafter. The patients’ plans of care and treatment are documente</w:t>
      </w:r>
      <w:r w:rsidRPr="00A4268A">
        <w:rPr>
          <w:rFonts w:eastAsia="Calibri"/>
        </w:rPr>
        <w:t xml:space="preserve">d in the patients’ clinical records. </w:t>
      </w:r>
    </w:p>
    <w:p w14:paraId="05F5FBCF" w14:textId="77777777" w:rsidR="0077079A" w:rsidRPr="00A4268A" w:rsidRDefault="00AD712E" w:rsidP="00621629">
      <w:pPr>
        <w:spacing w:before="240" w:line="276" w:lineRule="auto"/>
        <w:rPr>
          <w:rFonts w:eastAsia="Calibri"/>
        </w:rPr>
      </w:pPr>
      <w:r w:rsidRPr="00A4268A">
        <w:rPr>
          <w:rFonts w:eastAsia="Calibri"/>
        </w:rPr>
        <w:t>Patients’ clinical records confirmed that each stage of service provision is completed by a suitably qualified person. In observations, interviews and review of patients’ clinical records, there was evidence that patie</w:t>
      </w:r>
      <w:r w:rsidRPr="00A4268A">
        <w:rPr>
          <w:rFonts w:eastAsia="Calibri"/>
        </w:rPr>
        <w:t xml:space="preserve">nt care and treatment was conducted by nursing, medical and allied health staff members. Access to medical and nursing staff is 24 hours a day, 7 days a week. </w:t>
      </w:r>
    </w:p>
    <w:p w14:paraId="48C9F191" w14:textId="77777777" w:rsidR="0077079A" w:rsidRPr="00A4268A" w:rsidRDefault="00AD712E" w:rsidP="00621629">
      <w:pPr>
        <w:spacing w:before="240" w:line="276" w:lineRule="auto"/>
        <w:rPr>
          <w:rFonts w:eastAsia="Calibri"/>
        </w:rPr>
      </w:pPr>
      <w:r w:rsidRPr="00A4268A">
        <w:rPr>
          <w:rFonts w:eastAsia="Calibri"/>
        </w:rPr>
        <w:t>Patients’ and family interviews confirmed they were satisfied with the care and treatment provid</w:t>
      </w:r>
      <w:r w:rsidRPr="00A4268A">
        <w:rPr>
          <w:rFonts w:eastAsia="Calibri"/>
        </w:rPr>
        <w:t>ed.</w:t>
      </w:r>
    </w:p>
    <w:p w14:paraId="06451874" w14:textId="77777777" w:rsidR="0077079A" w:rsidRPr="00A4268A" w:rsidRDefault="00AD712E" w:rsidP="00621629">
      <w:pPr>
        <w:spacing w:before="240" w:line="276" w:lineRule="auto"/>
        <w:rPr>
          <w:rFonts w:eastAsia="Calibri"/>
        </w:rPr>
      </w:pPr>
      <w:r w:rsidRPr="00A4268A">
        <w:rPr>
          <w:rFonts w:eastAsia="Calibri"/>
        </w:rPr>
        <w:lastRenderedPageBreak/>
        <w:t>The systems tracers were completed in: medication management; infection prevention and control; deteriorating patient and falls management.</w:t>
      </w:r>
    </w:p>
    <w:p w14:paraId="23C7C647" w14:textId="77777777" w:rsidR="0077079A" w:rsidRPr="00A4268A" w:rsidRDefault="00AD712E" w:rsidP="00621629">
      <w:pPr>
        <w:spacing w:before="240" w:line="276" w:lineRule="auto"/>
        <w:rPr>
          <w:rFonts w:eastAsia="Calibri"/>
        </w:rPr>
      </w:pPr>
      <w:r w:rsidRPr="00A4268A">
        <w:rPr>
          <w:rFonts w:eastAsia="Calibri"/>
        </w:rPr>
        <w:t>Continuity of service delivery is maintained through: progress notes; family meetings; multidisciplinary meeting</w:t>
      </w:r>
      <w:r w:rsidRPr="00A4268A">
        <w:rPr>
          <w:rFonts w:eastAsia="Calibri"/>
        </w:rPr>
        <w:t>s; medical rounds; written and verbal handovers; patient communication boards and bedside handovers.</w:t>
      </w:r>
    </w:p>
    <w:bookmarkEnd w:id="14"/>
    <w:p w14:paraId="420E44BF" w14:textId="77777777" w:rsidR="0077079A" w:rsidRPr="00A4268A" w:rsidRDefault="0077079A" w:rsidP="00621629">
      <w:pPr>
        <w:spacing w:before="240" w:line="276" w:lineRule="auto"/>
        <w:rPr>
          <w:rFonts w:eastAsia="Calibri"/>
        </w:rPr>
      </w:pPr>
    </w:p>
    <w:p w14:paraId="38701AA5" w14:textId="77777777" w:rsidR="00460D43" w:rsidRDefault="00AD712E" w:rsidP="000E6E02">
      <w:pPr>
        <w:pStyle w:val="Heading2"/>
        <w:spacing w:before="0"/>
        <w:rPr>
          <w:rFonts w:cs="Arial"/>
        </w:rPr>
      </w:pPr>
      <w:r>
        <w:rPr>
          <w:rFonts w:cs="Arial"/>
        </w:rPr>
        <w:t>Safe and appropriate environment</w:t>
      </w:r>
    </w:p>
    <w:p w14:paraId="3FBAFBD1" w14:textId="77777777" w:rsidR="00460D43" w:rsidRDefault="00AD712E">
      <w:pPr>
        <w:spacing w:before="240" w:line="276" w:lineRule="auto"/>
        <w:rPr>
          <w:rFonts w:eastAsia="Calibri"/>
        </w:rPr>
      </w:pPr>
      <w:bookmarkStart w:id="15" w:name="SafeAndAppropriateEnvironment"/>
    </w:p>
    <w:p w14:paraId="035B4C88" w14:textId="77777777" w:rsidR="0077079A" w:rsidRPr="00A4268A" w:rsidRDefault="00AD712E">
      <w:pPr>
        <w:spacing w:before="240" w:line="276" w:lineRule="auto"/>
        <w:rPr>
          <w:rFonts w:eastAsia="Calibri"/>
        </w:rPr>
      </w:pPr>
      <w:r w:rsidRPr="00A4268A">
        <w:rPr>
          <w:rFonts w:eastAsia="Calibri"/>
        </w:rPr>
        <w:t xml:space="preserve">All Taranaki District Health Board inpatient buildings have a current building warrant of fitness. Plant and equipment are compliant with legislation. There is a preventative maintenance programme in place. The risks </w:t>
      </w:r>
      <w:r w:rsidRPr="00A4268A">
        <w:rPr>
          <w:rFonts w:eastAsia="Calibri"/>
        </w:rPr>
        <w:t>associated with the stage two development at Taranaki Base Hospital are known to the Board. The environment in the clinical areas is safe for patients, staff, and visitors.</w:t>
      </w:r>
    </w:p>
    <w:bookmarkEnd w:id="15"/>
    <w:p w14:paraId="6093BB72" w14:textId="77777777" w:rsidR="0077079A" w:rsidRPr="00A4268A" w:rsidRDefault="0077079A">
      <w:pPr>
        <w:spacing w:before="240" w:line="276" w:lineRule="auto"/>
        <w:rPr>
          <w:rFonts w:eastAsia="Calibri"/>
        </w:rPr>
      </w:pPr>
    </w:p>
    <w:p w14:paraId="1E8AED8A" w14:textId="77777777" w:rsidR="00460D43" w:rsidRDefault="00AD712E" w:rsidP="000E6E02">
      <w:pPr>
        <w:pStyle w:val="Heading2"/>
        <w:spacing w:before="0"/>
        <w:rPr>
          <w:rFonts w:cs="Arial"/>
        </w:rPr>
      </w:pPr>
      <w:r>
        <w:rPr>
          <w:rFonts w:cs="Arial"/>
        </w:rPr>
        <w:t>Restraint minimisation and safe practice</w:t>
      </w:r>
    </w:p>
    <w:p w14:paraId="52C79AE7" w14:textId="77777777" w:rsidR="00460D43" w:rsidRDefault="00AD712E">
      <w:pPr>
        <w:spacing w:before="240" w:line="276" w:lineRule="auto"/>
        <w:rPr>
          <w:rFonts w:eastAsia="Calibri"/>
        </w:rPr>
      </w:pPr>
      <w:bookmarkStart w:id="16" w:name="RestraintMinimisationAndSafePractice"/>
      <w:r w:rsidRPr="00A4268A">
        <w:rPr>
          <w:rFonts w:eastAsia="Calibri"/>
        </w:rPr>
        <w:t>There are policies and procedures to support the minimisation of restraint use and for the correct implementation of enablers across both Taranaki Base hospital and Hawera hospital. Reporting and monitoring of restraint and enabler use occurs via an electr</w:t>
      </w:r>
      <w:r w:rsidRPr="00A4268A">
        <w:rPr>
          <w:rFonts w:eastAsia="Calibri"/>
        </w:rPr>
        <w:t xml:space="preserve">onic quality and risk reporting system. Training programmes for staff are in place.  </w:t>
      </w:r>
    </w:p>
    <w:bookmarkEnd w:id="16"/>
    <w:p w14:paraId="4E8E6C9B" w14:textId="77777777" w:rsidR="0077079A" w:rsidRPr="00A4268A" w:rsidRDefault="0077079A">
      <w:pPr>
        <w:spacing w:before="240" w:line="276" w:lineRule="auto"/>
        <w:rPr>
          <w:rFonts w:eastAsia="Calibri"/>
        </w:rPr>
      </w:pPr>
    </w:p>
    <w:p w14:paraId="48E9443C" w14:textId="77777777" w:rsidR="00460D43" w:rsidRDefault="00AD712E" w:rsidP="000E6E02">
      <w:pPr>
        <w:pStyle w:val="Heading2"/>
        <w:spacing w:before="0"/>
        <w:rPr>
          <w:rFonts w:cs="Arial"/>
        </w:rPr>
      </w:pPr>
      <w:r>
        <w:rPr>
          <w:rFonts w:cs="Arial"/>
        </w:rPr>
        <w:t>Infection prevention and control</w:t>
      </w:r>
    </w:p>
    <w:p w14:paraId="37EB880A" w14:textId="77777777" w:rsidR="00460D43" w:rsidRDefault="00AD712E">
      <w:pPr>
        <w:spacing w:before="240" w:line="276" w:lineRule="auto"/>
        <w:rPr>
          <w:rFonts w:eastAsia="Calibri"/>
        </w:rPr>
      </w:pPr>
      <w:bookmarkStart w:id="17" w:name="InfectionPreventionAndControl"/>
      <w:r w:rsidRPr="00A4268A">
        <w:rPr>
          <w:rFonts w:eastAsia="Calibri"/>
        </w:rPr>
        <w:t>Infection pre</w:t>
      </w:r>
      <w:r w:rsidRPr="00A4268A">
        <w:rPr>
          <w:rFonts w:eastAsia="Calibri"/>
        </w:rPr>
        <w:t>vention and control policies and procedures reflect current accepted good practice and are available to staff online. The infection prevention and control programme aligns with the standard, guidelines and protocols. The organisation has an on-going survei</w:t>
      </w:r>
      <w:r w:rsidRPr="00A4268A">
        <w:rPr>
          <w:rFonts w:eastAsia="Calibri"/>
        </w:rPr>
        <w:t>llance programme that is linked to policy planning and systems. The surveillance processes are embedded into practice.</w:t>
      </w:r>
    </w:p>
    <w:p w14:paraId="61CEC418" w14:textId="77777777" w:rsidR="0077079A" w:rsidRPr="00A4268A" w:rsidRDefault="00AD712E">
      <w:pPr>
        <w:spacing w:before="240" w:line="276" w:lineRule="auto"/>
        <w:rPr>
          <w:rFonts w:eastAsia="Calibri"/>
        </w:rPr>
      </w:pPr>
      <w:r w:rsidRPr="00A4268A">
        <w:rPr>
          <w:rFonts w:eastAsia="Calibri"/>
        </w:rPr>
        <w:lastRenderedPageBreak/>
        <w:t>The infection prevention and control systems tracer concentrated on the screening for infection. Screening tools are integrated as part o</w:t>
      </w:r>
      <w:r w:rsidRPr="00A4268A">
        <w:rPr>
          <w:rFonts w:eastAsia="Calibri"/>
        </w:rPr>
        <w:t>f the patient admission process across the District Health Board. There is communication on infection prevention and control measures to all areas. Surveillance activities were reviewed and include audits, surgical site infection surveillance and hand hygi</w:t>
      </w:r>
      <w:r w:rsidRPr="00A4268A">
        <w:rPr>
          <w:rFonts w:eastAsia="Calibri"/>
        </w:rPr>
        <w:t>ene compliance. Antimicrobial stewardship is audited to monitor compliance.</w:t>
      </w:r>
    </w:p>
    <w:p w14:paraId="5445AC1A" w14:textId="77777777" w:rsidR="0077079A" w:rsidRPr="00A4268A" w:rsidRDefault="0077079A">
      <w:pPr>
        <w:spacing w:before="240" w:line="276" w:lineRule="auto"/>
        <w:rPr>
          <w:rFonts w:eastAsia="Calibri"/>
        </w:rPr>
      </w:pPr>
      <w:bookmarkStart w:id="18" w:name="_GoBack"/>
      <w:bookmarkEnd w:id="17"/>
      <w:bookmarkEnd w:id="18"/>
    </w:p>
    <w:sectPr w:rsidR="0077079A" w:rsidRPr="00A4268A" w:rsidSect="00553459">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ECDB6" w14:textId="77777777" w:rsidR="00000000" w:rsidRDefault="00AD712E">
      <w:r>
        <w:separator/>
      </w:r>
    </w:p>
  </w:endnote>
  <w:endnote w:type="continuationSeparator" w:id="0">
    <w:p w14:paraId="798FEB64" w14:textId="77777777" w:rsidR="00000000" w:rsidRDefault="00AD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10C56" w14:textId="77777777" w:rsidR="000B00BC" w:rsidRDefault="00AD712E">
    <w:pPr>
      <w:pStyle w:val="Footer"/>
    </w:pPr>
  </w:p>
  <w:p w14:paraId="5362F471" w14:textId="77777777" w:rsidR="005A4A55" w:rsidRDefault="00AD712E"/>
  <w:p w14:paraId="16486B8B" w14:textId="77777777" w:rsidR="005A4A55" w:rsidRDefault="00AD712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EEDDC" w14:textId="77777777" w:rsidR="000B00BC" w:rsidRPr="000B00BC" w:rsidRDefault="00AD712E"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Taranaki District Health Board</w:t>
    </w:r>
    <w:bookmarkEnd w:id="19"/>
    <w:r>
      <w:rPr>
        <w:rFonts w:cs="Arial"/>
        <w:sz w:val="16"/>
        <w:szCs w:val="20"/>
      </w:rPr>
      <w:tab/>
      <w:t xml:space="preserve">Date of Audit: </w:t>
    </w:r>
    <w:bookmarkStart w:id="20" w:name="AuditStartDate1"/>
    <w:r>
      <w:rPr>
        <w:rFonts w:cs="Arial"/>
        <w:sz w:val="16"/>
        <w:szCs w:val="20"/>
      </w:rPr>
      <w:t>25 May 2021</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F37D87B" w14:textId="77777777" w:rsidR="005A4A55" w:rsidRDefault="00AD712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506CF" w14:textId="77777777" w:rsidR="000B00BC" w:rsidRDefault="00AD7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638C1" w14:textId="77777777" w:rsidR="00000000" w:rsidRDefault="00AD712E">
      <w:r>
        <w:separator/>
      </w:r>
    </w:p>
  </w:footnote>
  <w:footnote w:type="continuationSeparator" w:id="0">
    <w:p w14:paraId="1D022DA5" w14:textId="77777777" w:rsidR="00000000" w:rsidRDefault="00AD7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1D041" w14:textId="77777777" w:rsidR="000B00BC" w:rsidRDefault="00AD712E">
    <w:pPr>
      <w:pStyle w:val="Header"/>
    </w:pPr>
  </w:p>
  <w:p w14:paraId="3A5F1133" w14:textId="77777777" w:rsidR="005A4A55" w:rsidRDefault="00AD71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6516D" w14:textId="77777777" w:rsidR="000B00BC" w:rsidRDefault="00AD712E">
    <w:pPr>
      <w:pStyle w:val="Header"/>
    </w:pPr>
  </w:p>
  <w:p w14:paraId="71EE94A4" w14:textId="77777777" w:rsidR="005A4A55" w:rsidRDefault="00AD71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DE9A8" w14:textId="77777777" w:rsidR="000B00BC" w:rsidRDefault="00AD7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FD9C0860">
      <w:start w:val="1"/>
      <w:numFmt w:val="decimal"/>
      <w:lvlText w:val="%1."/>
      <w:lvlJc w:val="left"/>
      <w:pPr>
        <w:ind w:left="360" w:hanging="360"/>
      </w:pPr>
    </w:lvl>
    <w:lvl w:ilvl="1" w:tplc="8506C324" w:tentative="1">
      <w:start w:val="1"/>
      <w:numFmt w:val="lowerLetter"/>
      <w:lvlText w:val="%2."/>
      <w:lvlJc w:val="left"/>
      <w:pPr>
        <w:ind w:left="1080" w:hanging="360"/>
      </w:pPr>
    </w:lvl>
    <w:lvl w:ilvl="2" w:tplc="C7C6833E" w:tentative="1">
      <w:start w:val="1"/>
      <w:numFmt w:val="lowerRoman"/>
      <w:lvlText w:val="%3."/>
      <w:lvlJc w:val="right"/>
      <w:pPr>
        <w:ind w:left="1800" w:hanging="180"/>
      </w:pPr>
    </w:lvl>
    <w:lvl w:ilvl="3" w:tplc="5E1CB800" w:tentative="1">
      <w:start w:val="1"/>
      <w:numFmt w:val="decimal"/>
      <w:lvlText w:val="%4."/>
      <w:lvlJc w:val="left"/>
      <w:pPr>
        <w:ind w:left="2520" w:hanging="360"/>
      </w:pPr>
    </w:lvl>
    <w:lvl w:ilvl="4" w:tplc="47363856" w:tentative="1">
      <w:start w:val="1"/>
      <w:numFmt w:val="lowerLetter"/>
      <w:lvlText w:val="%5."/>
      <w:lvlJc w:val="left"/>
      <w:pPr>
        <w:ind w:left="3240" w:hanging="360"/>
      </w:pPr>
    </w:lvl>
    <w:lvl w:ilvl="5" w:tplc="A15A6D8A" w:tentative="1">
      <w:start w:val="1"/>
      <w:numFmt w:val="lowerRoman"/>
      <w:lvlText w:val="%6."/>
      <w:lvlJc w:val="right"/>
      <w:pPr>
        <w:ind w:left="3960" w:hanging="180"/>
      </w:pPr>
    </w:lvl>
    <w:lvl w:ilvl="6" w:tplc="A2425CB6" w:tentative="1">
      <w:start w:val="1"/>
      <w:numFmt w:val="decimal"/>
      <w:lvlText w:val="%7."/>
      <w:lvlJc w:val="left"/>
      <w:pPr>
        <w:ind w:left="4680" w:hanging="360"/>
      </w:pPr>
    </w:lvl>
    <w:lvl w:ilvl="7" w:tplc="3642DCAA" w:tentative="1">
      <w:start w:val="1"/>
      <w:numFmt w:val="lowerLetter"/>
      <w:lvlText w:val="%8."/>
      <w:lvlJc w:val="left"/>
      <w:pPr>
        <w:ind w:left="5400" w:hanging="360"/>
      </w:pPr>
    </w:lvl>
    <w:lvl w:ilvl="8" w:tplc="27AE87F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3B2FFBC">
      <w:start w:val="1"/>
      <w:numFmt w:val="bullet"/>
      <w:lvlText w:val=""/>
      <w:lvlJc w:val="left"/>
      <w:pPr>
        <w:ind w:left="720" w:hanging="360"/>
      </w:pPr>
      <w:rPr>
        <w:rFonts w:ascii="Symbol" w:hAnsi="Symbol" w:hint="default"/>
      </w:rPr>
    </w:lvl>
    <w:lvl w:ilvl="1" w:tplc="864A6A2A" w:tentative="1">
      <w:start w:val="1"/>
      <w:numFmt w:val="bullet"/>
      <w:lvlText w:val="o"/>
      <w:lvlJc w:val="left"/>
      <w:pPr>
        <w:ind w:left="1440" w:hanging="360"/>
      </w:pPr>
      <w:rPr>
        <w:rFonts w:ascii="Courier New" w:hAnsi="Courier New" w:cs="Courier New" w:hint="default"/>
      </w:rPr>
    </w:lvl>
    <w:lvl w:ilvl="2" w:tplc="514E8AAC" w:tentative="1">
      <w:start w:val="1"/>
      <w:numFmt w:val="bullet"/>
      <w:lvlText w:val=""/>
      <w:lvlJc w:val="left"/>
      <w:pPr>
        <w:ind w:left="2160" w:hanging="360"/>
      </w:pPr>
      <w:rPr>
        <w:rFonts w:ascii="Wingdings" w:hAnsi="Wingdings" w:hint="default"/>
      </w:rPr>
    </w:lvl>
    <w:lvl w:ilvl="3" w:tplc="7DB62D06" w:tentative="1">
      <w:start w:val="1"/>
      <w:numFmt w:val="bullet"/>
      <w:lvlText w:val=""/>
      <w:lvlJc w:val="left"/>
      <w:pPr>
        <w:ind w:left="2880" w:hanging="360"/>
      </w:pPr>
      <w:rPr>
        <w:rFonts w:ascii="Symbol" w:hAnsi="Symbol" w:hint="default"/>
      </w:rPr>
    </w:lvl>
    <w:lvl w:ilvl="4" w:tplc="CDC6A7AE" w:tentative="1">
      <w:start w:val="1"/>
      <w:numFmt w:val="bullet"/>
      <w:lvlText w:val="o"/>
      <w:lvlJc w:val="left"/>
      <w:pPr>
        <w:ind w:left="3600" w:hanging="360"/>
      </w:pPr>
      <w:rPr>
        <w:rFonts w:ascii="Courier New" w:hAnsi="Courier New" w:cs="Courier New" w:hint="default"/>
      </w:rPr>
    </w:lvl>
    <w:lvl w:ilvl="5" w:tplc="4DA88B26" w:tentative="1">
      <w:start w:val="1"/>
      <w:numFmt w:val="bullet"/>
      <w:lvlText w:val=""/>
      <w:lvlJc w:val="left"/>
      <w:pPr>
        <w:ind w:left="4320" w:hanging="360"/>
      </w:pPr>
      <w:rPr>
        <w:rFonts w:ascii="Wingdings" w:hAnsi="Wingdings" w:hint="default"/>
      </w:rPr>
    </w:lvl>
    <w:lvl w:ilvl="6" w:tplc="D5F6ED46" w:tentative="1">
      <w:start w:val="1"/>
      <w:numFmt w:val="bullet"/>
      <w:lvlText w:val=""/>
      <w:lvlJc w:val="left"/>
      <w:pPr>
        <w:ind w:left="5040" w:hanging="360"/>
      </w:pPr>
      <w:rPr>
        <w:rFonts w:ascii="Symbol" w:hAnsi="Symbol" w:hint="default"/>
      </w:rPr>
    </w:lvl>
    <w:lvl w:ilvl="7" w:tplc="19009DBE" w:tentative="1">
      <w:start w:val="1"/>
      <w:numFmt w:val="bullet"/>
      <w:lvlText w:val="o"/>
      <w:lvlJc w:val="left"/>
      <w:pPr>
        <w:ind w:left="5760" w:hanging="360"/>
      </w:pPr>
      <w:rPr>
        <w:rFonts w:ascii="Courier New" w:hAnsi="Courier New" w:cs="Courier New" w:hint="default"/>
      </w:rPr>
    </w:lvl>
    <w:lvl w:ilvl="8" w:tplc="284675F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79A"/>
    <w:rsid w:val="0077079A"/>
    <w:rsid w:val="00AD71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48727"/>
  <w15:docId w15:val="{76299A22-427E-484B-8662-61ABC7A0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54CDA26BDB146991E123451FF4238" ma:contentTypeVersion="13" ma:contentTypeDescription="Create a new document." ma:contentTypeScope="" ma:versionID="6ddba733b27392c41eb2b97655f4636f">
  <xsd:schema xmlns:xsd="http://www.w3.org/2001/XMLSchema" xmlns:xs="http://www.w3.org/2001/XMLSchema" xmlns:p="http://schemas.microsoft.com/office/2006/metadata/properties" xmlns:ns3="9d2b4c0c-e73f-4b79-ac91-3f4ee002f232" xmlns:ns4="6a713a0b-e6ce-4987-b875-cea85372abec" targetNamespace="http://schemas.microsoft.com/office/2006/metadata/properties" ma:root="true" ma:fieldsID="9b94ff66c3b260ab5cac48297c43c882" ns3:_="" ns4:_="">
    <xsd:import namespace="9d2b4c0c-e73f-4b79-ac91-3f4ee002f232"/>
    <xsd:import namespace="6a713a0b-e6ce-4987-b875-cea85372ab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Details" minOccurs="0"/>
                <xsd:element ref="ns4:SharedWithUser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b4c0c-e73f-4b79-ac91-3f4ee002f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13a0b-e6ce-4987-b875-cea85372abec"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59106-2ED3-441F-8BB0-F7A1436DC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b4c0c-e73f-4b79-ac91-3f4ee002f232"/>
    <ds:schemaRef ds:uri="6a713a0b-e6ce-4987-b875-cea85372a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D2B3F-6052-4907-9E85-BB09AE4A4340}">
  <ds:schemaRefs>
    <ds:schemaRef ds:uri="http://schemas.microsoft.com/sharepoint/v3/contenttype/forms"/>
  </ds:schemaRefs>
</ds:datastoreItem>
</file>

<file path=customXml/itemProps3.xml><?xml version="1.0" encoding="utf-8"?>
<ds:datastoreItem xmlns:ds="http://schemas.openxmlformats.org/officeDocument/2006/customXml" ds:itemID="{11935099-CA7A-46E5-ADD0-A90DD926CE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9AD28B-979F-470C-9C6A-3F58F957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Coral Tombleson</cp:lastModifiedBy>
  <cp:revision>2</cp:revision>
  <dcterms:created xsi:type="dcterms:W3CDTF">2021-07-19T01:45:00Z</dcterms:created>
  <dcterms:modified xsi:type="dcterms:W3CDTF">2021-07-19T01:45:00Z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0x01010078754CDA26BDB146991E123451FF4238</vt:lpwstr>
  </property>
</Properties>
</file>