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by the Lake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by the Lake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25 May 2021</w:t>
      </w:r>
      <w:bookmarkEnd w:id="7"/>
      <w:r w:rsidRPr="009418D4">
        <w:rPr>
          <w:rFonts w:cs="Arial"/>
        </w:rPr>
        <w:tab/>
        <w:t xml:space="preserve">End date: </w:t>
      </w:r>
      <w:bookmarkStart w:id="8" w:name="AuditEndDate"/>
      <w:r w:rsidR="00A4268A">
        <w:rPr>
          <w:rFonts w:cs="Arial"/>
        </w:rPr>
        <w:t>26 May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Summerset by the Lake provides rest home level care for up to 19 residents including 18 in serviced apartments.  On the day of the audit there were seven residents receiving rest home level care.  </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family, management and staff.  </w:t>
      </w:r>
    </w:p>
    <w:p w:rsidRPr="00A4268A">
      <w:pPr>
        <w:spacing w:before="240" w:line="276" w:lineRule="auto"/>
        <w:rPr>
          <w:rFonts w:eastAsia="Calibri"/>
        </w:rPr>
      </w:pPr>
      <w:r w:rsidRPr="00A4268A">
        <w:rPr>
          <w:rFonts w:eastAsia="Calibri"/>
        </w:rPr>
        <w:t xml:space="preserve">The village manager is an experienced registered nurse and manager and is supported by a clinical manager (registered nurse) who oversees the clinical services.  </w:t>
      </w:r>
    </w:p>
    <w:p w:rsidRPr="00A4268A">
      <w:pPr>
        <w:spacing w:before="240" w:line="276" w:lineRule="auto"/>
        <w:rPr>
          <w:rFonts w:eastAsia="Calibri"/>
        </w:rPr>
      </w:pPr>
      <w:r w:rsidRPr="00A4268A">
        <w:rPr>
          <w:rFonts w:eastAsia="Calibri"/>
        </w:rPr>
        <w:t xml:space="preserve">There are quality systems and processes being implemented.  An induction and in-service training programme are in place to provide staff with appropriate knowledge and skills to deliver care.  The residents and relative interviewed spoke positively about the care and support provided.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Summerset by the Lake provides care in a way that focuses on the individual resident.  Cultural assessment is undertaken on admission and during the review process.  The service functions in a way that complies with the Health and Disability Commissioner Code of Health and Disability Services Consumers' Rights (the Code).  Information about the Code and related services is readily available to residents and families.  Policies are available that support residents’ rights.  Care plans accommodate the choices of residents and/or their family.  Complaints processes are implemented, and complaints and concerns are managed and documented.  Residents and family interviewed verified ongoing involvement with the community.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Summerset by the Lake has an established quality and risk management system that supports the provision of clinical care.  Key components of the quality management system link to a number of meetings including monthly quality improvement meetings.  Annual surveys and monthly resident meetings provide residents and families with an opportunity for feedback about the service.  Quality performance is reported to staff at meetings and includes discussion about incidents, infections and internal audit results.  There are human resources policies including recruitment, selection, orientation and staff training and development.  The service has an orientation programme that provides new staff with relevant information for safe work practice.  There is an in-service training programme covering relevant aspects of care.  There is a staffing policy in place.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service has assessment processes and resident’s needs are assessed prior to entry.  There is a well-developed information pack available for residents and families/whānau at entry.  Assessments, resident-centred care plans and evaluations were completed by the registered nurses within the required timeframes.  Risk assessment tools and monitoring forms were available and implemented.  Resident-centred care plans were individualised and reflected the involvement of allied health professionals in the care of the resident.  </w:t>
      </w:r>
    </w:p>
    <w:p w:rsidRPr="00A4268A" w:rsidP="00621629">
      <w:pPr>
        <w:spacing w:before="240" w:line="276" w:lineRule="auto"/>
        <w:rPr>
          <w:rFonts w:eastAsia="Calibri"/>
        </w:rPr>
      </w:pPr>
      <w:r w:rsidRPr="00A4268A">
        <w:rPr>
          <w:rFonts w:eastAsia="Calibri"/>
        </w:rPr>
        <w:t xml:space="preserve">A recreational therapist coordinates and implements an integrated activity programme.  The activities meet the individual recreational needs and preferences of the consumer groups.  There are outings into the community and visiting entertainers.  </w:t>
      </w:r>
    </w:p>
    <w:p w:rsidRPr="00A4268A" w:rsidP="00621629">
      <w:pPr>
        <w:spacing w:before="240" w:line="276" w:lineRule="auto"/>
        <w:rPr>
          <w:rFonts w:eastAsia="Calibri"/>
        </w:rPr>
      </w:pPr>
      <w:r w:rsidRPr="00A4268A">
        <w:rPr>
          <w:rFonts w:eastAsia="Calibri"/>
        </w:rPr>
        <w:t xml:space="preserve">There are medicine management policies in place that meets legislative requirements.  Staff responsible for the administration of medications complete annual medication competencies and education.  The general practitioner reviews the medication charts three-monthly.  </w:t>
      </w:r>
    </w:p>
    <w:p w:rsidRPr="00A4268A" w:rsidP="00621629">
      <w:pPr>
        <w:spacing w:before="240" w:line="276" w:lineRule="auto"/>
        <w:rPr>
          <w:rFonts w:eastAsia="Calibri"/>
        </w:rPr>
      </w:pPr>
      <w:r w:rsidRPr="00A4268A">
        <w:rPr>
          <w:rFonts w:eastAsia="Calibri"/>
        </w:rPr>
        <w:t xml:space="preserve">The food service is contracted to an external company.  Resident's individual dietary needs were identified and accommodated.  Staff have attended food safety and hygiene training.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were documented processes for the management of waste and hazardous substances in place and incidents are reported in a timely manner.  Chemicals are stored safely throughout the facility.  The building has a current warrant of fitness.  Resident rooms (all are apartments with the exception of one single room) are spacious and personalised.  There are sufficient numbers of communal toilet/showers.  There was sufficient space to allow the movement of residents around the facility using mobility aids or lazy boy chairs.  The hallways and communal areas were spacious and accessible.  The outdoor areas were safe and easily accessible and provide seating and shade.  The service has implemented policies and procedures for civil defence and other emergencies and six-monthly fire drills are conducted.  Staff maintain a clean and tidy environment.  All laundry and linen are completed on site.  There is plenty of natural light in all rooms and the environment comfortable with adequate ventilation and heating.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There are documented policies and procedures around restraint use and use of enablers.  There is nil use of restraint and enablers.  Staff training around the use of restraint and enablers is provided and staff interviewed understand the philosophy of minimal use.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is appropriate for the size and complexity of the service.  The infection control officer (clinical manager) is responsible for coordinating and providing education and training for staff.  The infection control officer and infection control committee have attended training.  The infection control manual outlined the scope of the programme and included a comprehensive range of policies and guidelines.  The infection control officer, along with support office, uses the information obtained through surveillance to determine infection control activities, resources and education needs within the facility.  This included audits of the facility, hand hygiene and surveillance of infection control events and infections.  The service engages in benchmarking with other Summerset facilities.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93</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039"/>
        <w:gridCol w:w="1280"/>
        <w:gridCol w:w="961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staff (four caregivers, one registered nurse (CM) and one recreational therapist) confirmed their familiarity with the Health and Disability Commissioner (HDC) Code of Health and Disability Services Consumers’ Rights (the Code).  Three residents receiving rest home level care and one relative were interviewed and confirmed the services being provided are in line with the Code.  Observation during the audit confirmed this in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were discussed with residents and families on admission.  Written general and specific consents were evident in the five resident files reviewed. Four caregivers and one registered nurse (CNL) interviewed confirmed consent is obtained when delivering cares.  Resuscitation orders had been appropriately signed by the resident and general practitioner.  The service acknowledges the resident is for resuscitation in the absence of a signed directive by the resident.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 with a family member identified that the service actively involves them in decisions that affect their relative’s life.  Five long-term admission agreements were sighted and had been signed on admission.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 copy of the Code on entry to the service.  Residents interviewed confirmed they are aware of their right to access independent advocacy services and advocacy pamphlets are available at reception.  Discussions with one relative confirmed the service provided opportunities for the family/enduring power of attorney (EPOA) to be involved in decisions.  The resident files include information on residents’ family/whānau and chosen social networks.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the relative interviewed confirmed open visiting.  Visitors were observed coming and going during the audit.  Activities programmes included opportunities to attend events outside of the facility including activities of daily living (e.g., shopping and attending cafés and restaurants).  Interview with staff, residents and relative interviewed informed residents are supported and encouraged to remain involved in the community and external groups.  Relative and friends are encouraged to be involved with the service and care.  There is an on-site café which residents and relatives enjoy.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organisational complaints policy states that the village manager has overall responsibility for ensuring all complaints (verbal or written) are fully documented and investigated.  There is a complaint register that included relevant information regarding the complaint.  The number of complaints received each month is reported monthly to staff via the various meetings.  A complaint had been received in July 2020 via the Health and Disability Commissioner which was investigated by H&amp;D and closed with recommendations relating to documentation and education of staff in relation to the same.  This had been completed.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Ministry requested follow up against aspects of a complaint that included complaints management, service provider availability, assessment, care planning, service delivery/interventions, planned activities, care plan evaluation, medication management and nutrition, safe food and fluid management. There were no identified issues in respect of this complaint.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further complaint was received in July 2020 relating to the laundering of clothes.  The complaint documentation included follow-up letters, investigation and resolution that had been completed within the required timeframes.  Corrective actions had been implemented and any changes required were made.  A survey of resident satisfaction in December 2020, specific to the area of complaint, resulted in a 91% satisfaction result.  A complaints procedure is provided to residents within the information pack at entry.  Feedback forms are available for residents/relatives in various places around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provides information to residents that include the Code, complaints and advocacy.  Information is given to the family or the enduring power of attorney (EPOA) to read to and/or discuss with the resident.  Residents and relatives interviewed identified they were well informed about the Code of Rights.  Quarterly resident meetings provide the opportunity to raise concerns.  An annual residents/relatives survey is completed.  Advocacy and Code of Rights information is included in the information pack and is available at reception.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were able to describe the procedures for maintaining confidentiality of resident records, resident’s privacy and dignity.  House rules and a code of conduct are signed by staff at commencement of employment.  Contact details of spiritual/religious advisors are available.  Residents and relatives interviewed reported that residents are able to choose to engage in activities and access community resources.  There is an elder abuse and neglect policy.  Staff education and training on abuse and neglect is undertaken and an advocate from Age Concern visits the facility three monthly to meet with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Lake has a Māori health plan that includes a description of how they achieve the requirements set out in the contract.  There are supporting policies that provide recognition of Māori values and beliefs and identify culturally safe practices for Māori.  At the time of the audit, there were no residents that identified as Māori.  Links are established with local iwi.  Staff interviewed were able to describe how they can ensure they meet the cultural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initial care planning meeting is carried out where the resident and/or whānau as appropriate/able are invited to be involved.  Individual beliefs or values are further discussed and incorporated into the care plan.  Six-monthly multidisciplinary team meetings occur to assess if needs are being met.  Family is invited to attend.  Discussion with family/whānau confirmed values and beliefs are considered.  Residents interviewed confirmed that staff take into account their culture and values.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job descriptions include responsibilities and staff sign a copy on employment.  The quality improvement meetings occur monthly and include discussions on professional boundaries and concerns as they arise.  Management provide guidelines and mentoring for specific situations.  Interviews with the village manager, clinical manager and caregivers confirmed an awareness of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the relative interviewed spoke positively about the care and support provided.  Staff have a sound understanding of principles of aged care and stated that they feel supported by the village manager and clinical nurse lead.  All Summerset facilities have a master copy of policies which have been developed in line with current accepted best practice and are reviewed regularly.  The content of policy and procedures are sufficiently detailed to allow effective implementation by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quality improvement programme that includes performance monitoring against clinical indicators and benchmarking against like services within the group is undertaken.  There is evidence of education being supported outside of the training plan.  Services are provided at Summerset by the Lake that adhere to the Health and Disability Services Standards.  There are implemented competencies for caregivers and registered nurses including (but not limited to): insulin administration; medication; wound care; and manual handling.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a family member stated they were welcomed on entry and were given time and explanation about services and procedures.  The family member interviewed also stated they are informed of changes in resident’s health status and incidents/accidents and considers it has improved under current management.  The village manager talks weekly with residents in a group and resident meetings are held three-monthly.  The village manager and the clinical nurse lead have an open-door policy, and this was evident on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produces a “flyer” (newsletter) for residents and relatives when there are items of news/significance e.g., a recent one focussed on Covid-19.  Residents and family are advised in writing of their eligibility and the process to become a subsidised resident should they wish to do so.  The service has policies and procedures available for access to interpreter services for residents (and their family/whānau).  If residents or family/whānau have difficulty with written or spoken English, the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care for up to 19 residents at rest home level care (18 of these are in Occupational Right Agreement apartments within the central building).  The 19th room is a single room with ensuite.  At the time of the audit, there were seven residents at rest home level on the Age-Related Residential Care (ARRC) contract.  There were no residents on respite.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Lake has a site-specific business plan 2021 and goals that are developed in consultation with the village manager, clinical nurse leader and regional operations manager.  The Summerset by the Lake quality plan is reviewed regularly throughout the year.  There is a full evaluation at the end of the year.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(RN) has been in the position for over 5 years with 18 years’ previous experience managing in aged care.  The village manager is supported by a clinical nurse leader.  The clinical nurse leader has been in the position for one year in total.  She returned to the role three months ago after a period off with an injury.  She has a background in district health board hospitals and aged care nursing.  There is a regional operations manager who is available to support the facility and staff.  The village manager has attended at least eight hours of leadership professional development relevant to the role.  The clinical nurse leader has undertaken postgraduate studies in palliative care, the Ministry of Health infection control coordinator training and attends monthly zoom education sessions.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a temporary absence, the clinical nurse leader will cover the village manager’s role.  The regional operations manager and the regional quality manager provide oversight and support.  The audit confirmed the service has operational management strategies and a quality improvement programme to minimise risk of unwanted events.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by the Lake has implemented the organisation’s quality and risk management system.  There are policies and procedures being implemented to provide assurance that the service is meeting accepted good practice and adhering to relevant standards, including those standards relating to the Health and Disability Services (Safety) Act 2001.  Policies are reviewed on a regular basis.  The content of policy and procedures are detailed to allow effective implementation by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has a ‘clinical audit, training and compliance’ calendar.  The calendar schedules the training and audit requirements for the month and the village manager completes a ‘best practice’ sheet confirming completion of requirements.  The best practice sheet reports (but not limited to): meetings held; induction/orientation; audits; competencies; and projects.  This is forwarded to head office as part of the ongoing monitoring programme.  There is a meeting schedule including monthly quality improvement (full facility) meetings, that includes discussion about clinical indicators (e.g., incident trends, infection rates).  Management meetings are held weekly, health and safety monthly and infection control 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internal audit programme that includes aspects of clinical care.  Issues arising from internal audits are developed into corrective action plans.  Monthly and annual analysis of results is completed and provided across the organisation.  Health and safety internal audits are completed.  Accident/incident/clinical data is entered on VCare electronic system which is accessed by national office and analysed.  Other data such as occupancy is loaded on the RMNS electronic system.  Infection control is also included as part of benchmarking across the organisation.  Summerset’s regional quality manager analyses data collected via the monthly reports and corrective actions are required based on benchmarking outcomes.  </w:t>
            </w:r>
          </w:p>
          <w:p w:rsidR="00EB7645" w:rsidRPr="00BE00C7" w:rsidP="00BE00C7">
            <w:pPr>
              <w:pStyle w:val="OutcomeDescription"/>
              <w:spacing w:before="120" w:after="120"/>
              <w:rPr>
                <w:rFonts w:cs="Arial"/>
                <w:b w:val="0"/>
                <w:lang w:eastAsia="en-NZ"/>
              </w:rPr>
            </w:pPr>
            <w:r w:rsidRPr="00BE00C7">
              <w:rPr>
                <w:rFonts w:cs="Arial"/>
                <w:b w:val="0"/>
                <w:lang w:eastAsia="en-NZ"/>
              </w:rPr>
              <w:t>There is a health and safety and risk management programme in place including policies to guide practice.  The property manager is the health and safety officer (interviewed).  There are six internal health and safety audits each year.  The number and nature of events show trends.  A monthly newsletter/memo is given to staff covering issues.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that includes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(events) data has been collected and analysed.  Discussions with the service confirmed that there is an awareness of the requirement to notify relevant authorities in relation to essential notifications.  Five resident/clinical related incident reports for January, February and March 2021 were reviewed (three falls, one choking, and one incident of incomplete medication process completion).  All reports and corresponding resident files reviewed evidenced that appropriate clinical care has been provided following an incident.  The incident reporting policy includes definitions and outlines responsibilities including immediate action, reporting, monitoring and corrective action to minimise and debriefing.  Data is linked to the organisation's benchmarking programme and used for comparative purposes.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A list of practising certificates is maintained.  Seven staff files (one clinical nurse lead, one registered nurse, one property manager/health and safety officer, one activities officer and three caregivers) were reviewed and all had relevant documentation relating to employment.  Performance appraisals had been completed annually.  The service has an orientation programme in place that provides new staff with relevant information for safe work practice.  The orientation programme includes documented competencies and induction checklists. </w:t>
            </w:r>
          </w:p>
          <w:p w:rsidR="00EB7645" w:rsidRPr="00BE00C7" w:rsidP="00BE00C7">
            <w:pPr>
              <w:pStyle w:val="OutcomeDescription"/>
              <w:spacing w:before="120" w:after="120"/>
              <w:rPr>
                <w:rFonts w:cs="Arial"/>
                <w:b w:val="0"/>
                <w:lang w:eastAsia="en-NZ"/>
              </w:rPr>
            </w:pPr>
            <w:r w:rsidRPr="00BE00C7">
              <w:rPr>
                <w:rFonts w:cs="Arial"/>
                <w:b w:val="0"/>
                <w:lang w:eastAsia="en-NZ"/>
              </w:rPr>
              <w:t>Staff interviewed were able to describe the orientation process and believed new staff were adequately orientated to the service.  There is an annual education plan that is outlined on the ‘clinical audit, training and compliance calendar’.  Core competencies are completed, and a record of completion is maintained.  Staff interviewed were aware of the requirement to complete competency training.  All caregivers except 2 hold level II, level III or level IV qualifications.  All staff working pm/night  duties hold level IV. The clinical manager (RN) and an RN cover the facility 8 hours per day, seven days per week.  Both are interRAI trained.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village manager and clinical nurse manager work 40 hours per week (Monday to Friday).  The village manager is available on call for any operational issues and the clinical nurse manager (CM) and registered nurse share the on-call responsibilities for clinical support.  The CM or registered nurse are on duty for eight hours seven days a week.  Both the CM and RN are interRAI qualified.  Allowing for the delivery of care packages to the village residents, there are two caregiving (or RN) staff available to rest home residents at all times.  A staff availability list ensures that staff sickness and vacant shifts are covered.  All staff on pm duty have level four qualifications.  Caregivers interviewed confirmed that staff are replaced and there is sufficient coverage.  Staffing levels and skills mix policy is the documented rationale for determining staffing levels and skill mixes for safe service delivery.  Residents and the relative interviewed stated that there was sufficient staff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password protected from unauthorised access.  Individual resident files demonstrate service integration.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have a needs assessment completed prior to entry, that identifies the level of care required.  The clinical manager screens all potential enquiries to ensure the service can meet the specific needs of the resident.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Two residents and one relative stated that they received sufficient information on admission and discussion was held regarding the admission agreement.  The admission agreement reviewed aligns with a) - k) of the ARC contract.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exit, discharge and transfer policy that describes guidelines for death, discharge, transfer, documentation and follow-up.  All relevant information is documented and communicated to the receiving health provider or service.  Follow-up occurs to check that the resident is settled or, in the case of death, communication with the family is made.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medicine management policies and procedures that align with recognised standards and guidelines for safe medicine management practice.  The CM and caregivers who administer medications (13) have completed annual medication competencies and education.  The service uses an electronic charting and administration system and individual robotic medication rolls.  All medications were evidenced to have been checked on delivery with any discrepancies fed back to the supplying pharmacy.  Standing orders are not used.  There is a self-medicating resident’s policy and procedure in place.  There were two residents partially self-medicating on the day of audit.  Competency had been tested.  The treatment room and medication fridge temperature is monitored daily.  Eye drops are dated on opening.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Seven resident medication charts (there was a total of seven rest home assessed residents) on the electronic medication system were reviewed.  The charts had photograph identification and allergy status recorded.  </w:t>
              <w:br/>
              <w:t xml:space="preserve">All seven medication charts reviewed identified that the GP had reviewed the medication chart three-monthly.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are provided by an on-site contracted service.  There is a four-weekly rotating, summer/winter menu approved by the dietitian (19 May 2021).  The menu includes resident preferences.  The cook (interviewed) is notified of any changes to resident’s dietary requirements.  Resident likes/dislikes and preferences are known and accommodated with alternative meal options.  Meals are plated and delivered in hot boxes to the dining room for rest home residents.  The cook receives a dietary profile for each resident.  </w:t>
            </w:r>
          </w:p>
          <w:p w:rsidR="00EB7645" w:rsidRPr="00BE00C7" w:rsidP="00BE00C7">
            <w:pPr>
              <w:pStyle w:val="OutcomeDescription"/>
              <w:spacing w:before="120" w:after="120"/>
              <w:rPr>
                <w:rFonts w:cs="Arial"/>
                <w:b w:val="0"/>
                <w:lang w:eastAsia="en-NZ"/>
              </w:rPr>
            </w:pPr>
            <w:r w:rsidRPr="00BE00C7">
              <w:rPr>
                <w:rFonts w:cs="Arial"/>
                <w:b w:val="0"/>
                <w:lang w:eastAsia="en-NZ"/>
              </w:rPr>
              <w:t>The fridge. freezer and end-cooked food temperatures are recorded twice daily.  All foods are stored correctly, and date labelled.  Cleaning schedules are maintained.  Chemicals are stored safely within the kitchen.  Staff were observed wearing correct personal protective clothing.  The chemical provider completes a functional test on the dishwasher monthly.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 Control Plan expires June 2021.  An onsite verification has been undertaken (May 2021) and the site is awaiting further verification.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working in the kitchen have food handling certificates and chemical safety training.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kitchen manager receives feedback from resident meetings, surveys and welcomes suggestions on the meal service.  The last resident survey resulted in 100% satisfaction.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reason for declining service entry to residents should this occur, is communicated to the resident or family/whānau and they are referred to the original referral agent for further information.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initial support plan is developed with information from the initial assessment.  Clinical risk assessments are completed on admission where applicable and reviewed six-monthly as part of the interRAI assessment.  Outcomes of risk assessment tools are used to identify the needs, supports and interventions required to meet resident goals.  The interRAI assessment tool has been utilised for all residents and there were clear links to the care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Resident-centred care plans describe the individual support and interventions required to meet the resident goals.  The care plans reviewed reflect the outcomes of risk assessment tools and link with the interRAI assessment.  Care plans demonstrate service integration and include input from allied health practitioners.  </w:t>
            </w:r>
          </w:p>
          <w:p w:rsidR="00EB7645" w:rsidRPr="00BE00C7" w:rsidP="00BE00C7">
            <w:pPr>
              <w:pStyle w:val="OutcomeDescription"/>
              <w:spacing w:before="120" w:after="120"/>
              <w:rPr>
                <w:rFonts w:cs="Arial"/>
                <w:b w:val="0"/>
                <w:lang w:eastAsia="en-NZ"/>
              </w:rPr>
            </w:pPr>
            <w:r w:rsidRPr="00BE00C7">
              <w:rPr>
                <w:rFonts w:cs="Arial"/>
                <w:b w:val="0"/>
                <w:lang w:eastAsia="en-NZ"/>
              </w:rPr>
              <w:t>Short-term care plans are used for changes in health status.  These are evaluated regularly and either resolved or if an ongoing problem, added to the long-term care plan.  There is documented evidence of resident/family involvement in the care planning process.  Residents/relatives interviewed confirmed they participate in the care planning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CM initiates a review and if required, a GP consultation.  The relative interviewed stated their relative’s needs are met and they are kept informed of any health changes.  There was documented evidence in the resident files of family notification (highlighted in the electronic progress notes) of any changes to health including infections, accidents/incidents and medication changes.  Residents interviewed stated their needs are being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There were no wounds or pressure injuries on the day of audit.  The CM confirmed there is access to a wound care specialist at Rotorua Hospital and district nurses.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for day use, night use and other management.  Specialist continence advice is available as needed.  </w:t>
            </w:r>
          </w:p>
          <w:p w:rsidR="00EB7645" w:rsidRPr="00BE00C7" w:rsidP="00BE00C7">
            <w:pPr>
              <w:pStyle w:val="OutcomeDescription"/>
              <w:spacing w:before="120" w:after="120"/>
              <w:rPr>
                <w:rFonts w:cs="Arial"/>
                <w:b w:val="0"/>
                <w:lang w:eastAsia="en-NZ"/>
              </w:rPr>
            </w:pPr>
            <w:r w:rsidRPr="00BE00C7">
              <w:rPr>
                <w:rFonts w:cs="Arial"/>
                <w:b w:val="0"/>
                <w:lang w:eastAsia="en-NZ"/>
              </w:rPr>
              <w:t>There are a number of monitoring forms and charts available for use including (but not limited to): pain monitoring; blood pressure; pulse; blood sugar levels; weight; food and fluid intake; and behaviour charts.  These were sighted as used where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part-time recreational therapist (RT) for 16 hours per week across four days and there is a volunteer on the fifth day.  The RT is 75% through diversional therapy training.    </w:t>
            </w:r>
          </w:p>
          <w:p w:rsidR="00EB7645" w:rsidRPr="00BE00C7" w:rsidP="00BE00C7">
            <w:pPr>
              <w:pStyle w:val="OutcomeDescription"/>
              <w:spacing w:before="120" w:after="120"/>
              <w:rPr>
                <w:rFonts w:cs="Arial"/>
                <w:b w:val="0"/>
                <w:lang w:eastAsia="en-NZ"/>
              </w:rPr>
            </w:pPr>
            <w:r w:rsidRPr="00BE00C7">
              <w:rPr>
                <w:rFonts w:cs="Arial"/>
                <w:b w:val="0"/>
                <w:lang w:eastAsia="en-NZ"/>
              </w:rPr>
              <w:t>The activity programme is flexible and accommodates spontaneous activities.  Volunteers are involved in the programme.  Activities meet the recreational needs of the rest home residents including quizzes, news reading, bingo, exercises and mini golf.  All serviced apartment residents are invited to attend group activities including entertainment (each Thursday) and speakers.  There are fortnightly church services.  Residents are encouraged to maintain links with the community (a van is on site and residents routinely go out each Friday) and have visits from the local school children.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meetings provide an opportunity for residents to feedback on the programme.  Quarterly meetings are held with the Age Concern advocate.  Family are invited to these meetings. </w:t>
            </w:r>
          </w:p>
          <w:p w:rsidR="00EB7645" w:rsidRPr="00BE00C7" w:rsidP="00BE00C7">
            <w:pPr>
              <w:pStyle w:val="OutcomeDescription"/>
              <w:spacing w:before="120" w:after="120"/>
              <w:rPr>
                <w:rFonts w:cs="Arial"/>
                <w:b w:val="0"/>
                <w:lang w:eastAsia="en-NZ"/>
              </w:rPr>
            </w:pPr>
            <w:r w:rsidRPr="00BE00C7">
              <w:rPr>
                <w:rFonts w:cs="Arial"/>
                <w:b w:val="0"/>
                <w:lang w:eastAsia="en-NZ"/>
              </w:rPr>
              <w:t>The RT completes resident activity assessments, activity plans and six-monthly reviews.  The RT maintains individual progress notes with entries monthly or more frequently.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are involved in the review of resident centred care plans.  Written evaluations were completed six-monthly or earlier for resident health changes in all files reviewed.  There is multidisciplinary (MDT) team involvement in the reviews including input from the GP and any allied health professionals involved in the resident’s care.  Families are invited to attend the MDT review and asked for input if they are unable to attend.  The GP completes three-monthly reviews.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is evident in the sample group of resident files.  The service facilitates access to other medical and non-medical services.  Referral documentation is maintained on resident files.  The service provided examples of where a resident’s condition had changed, and the resident was reassessed for a higher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to ensure incidents are reported in a timely manner.  Safety data sheets were readily accessible for staff.  Chemicals were stored safely throughout the facility.  Personal protective clothing was available for staff and seen to be worn by staff when carrying out their duties on the day of audit.  Relevant staff have completed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on 29 December 2021.  There is a full-time property manager who oversees the property and gardening team and is available on call for facility matters.  The property manager is a health and safety representative for the facility.  Planned and reactive maintenance systems are in place and maintenance requests are generated through the Sway (Summerset way) online system.  All electrical equipment has been tested and tagged (May 2021).  Essential contractors are available 24 hours.  Clinical equipment has had functional checks/calibration annually (May 2021).  Hot water temperatures have been tested and recorded monthly with readings below 45 degrees Celsius.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Corridors are wide in all areas to allow residents to pass each other safely.  There is safe access to all communal areas and outdoor areas.  The external areas are well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and CM stated they have all the equipment required to safely provide the care documented in the care plans.  A hoist is available if needed for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serviced apartments and the single bedroom have spacious full ensuites.  The fixtures, fittings, floors and wall surfaces are constructed from materials that can be easily cleaned.  Residents interviewed stated staff respect their privacy when carrying out hygiene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adequate room to safely manoeuvre around the apartment and communal areas with the use of mobility aids.  The doors are wide enough for ambulance trolley access.  Residents and families are encouraged to personalise their apartments,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areas within the facility include an open plan dining area and kitchenette and main lounge that can accommodate rest home residents and where most activities take place.  There is a sunroom/private lounge for resident and family use.  There are seating alcoves within the facility.  The communal areas are easily accessible for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policies and procedures to provide guidelines regarding the safe and efficient use of laundry services.  All linen and personal clothing is laundered on site by the caregivers.  The laundry is well equipped, and all machinery has been serviced regularly.  There is personal protective equipment available.  The laundry has defined clean/dirty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Cleaning trolleys sighted were well equipped and are kept in designated locked cupboards when not in use.  External (chemical provider) and internal audits monitor the effectiveness of laundry and cleaning processes.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and equipment for responding to emergencies is provided.  There is an approved evacuation plan.  Fire evacuations are held six-monthly, and the last drill was completed in February 2021.  There is staff on each shift with first aid training.  There is a civil defence and emergency plan in place.  The civil defence kit is readily accessible.  The facility is well prepared for civil emergencies and has emergency lighting, a store of emergency water and a gas BBQ for alternative cooking along with a three-burner hob for boiling water.  There is a generator on site and staff receive training on how to use along with site-specific civil defence training.  Emergency food supplies sufficient for five days are kept.  There is a store of supplies necessary to manage a pandemic.  The call bell system is available in all areas and rings through to pagers carried by staff, plus show at the end of each corridor and above individual doors.  There is a three-hour backup for call bells in an emergency.  During the tour of the facility, residents were observed to have easy access to the call bells and residents interviewed stated their call bells were answered in a timely manner.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Visual inspection evidenced that the residents have adequate natural light in the bedrooms and communal rooms, safe ventilation and an environment that is maintained at a safe and comfortable temperature.  Underfloor heating can be individually controlled within the resident’s apartment.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programme is appropriate for the size and complexity of the service.  There is an infection control responsibility policy that includes responsibilities for the infection control officer.  The infection control officer (clinical manager) has a signed job description.  The infection control programme is linked into the quality management system and reviewed annually at head office in consultation with infection control officers.  The facility meetings include a discussion on infection control matters.  Since 2020 there has been a focus on outbreak management with supplies of personal protective equipment (PPE) increased and additional education on the use of PPE.  From February 2021 to date of audit there had been monthly infection control education including covid management, pandemic kits and a talk by the pharmacist on vaccinations.  At the time of audit 99% of care residents and 99% of all staff had received their first covid vaccination.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officer (CM) is responsible for coordinating and providing education and training to staff.  The induction package includes specific training around hand washing competencies and standard precautions.  Ongoing training occurs annually as part of the training calendar set at head office.  The infection control officer has attended national Summerset group training, has undertaken the Ministry of Health IC coordinator training and has undertaken a postgraduate certificate which included material on infection control.  There is an infection control team which meets monthly.  The facility has access to the IC Nurse specialist (DHB), laboratory, GPs and expertise within the organisation.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infection control policies that are current and reflected the Infection Control Standard SNZ HB 8134:2008, legislation and good practice.  These are across the Summerset organisation.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officer is responsible for coordinating and providing education and training to staff.  The induction package includes specific training around hand washing competencies and standard precautions.  Ongoing training occurs as part of the training calendar set at head office.  Since March 2021 there have been four infection control training sessions plus competencies undertaken.  The pharmacist also gave a talk on Covid vaccination to staff and residents this year.  At time of audit 99% of staff and 99% of residents have had their first Covid vaccination.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policy includes: a surveillance policy; a surveillance procedure; process for detection of infection; infections under surveillance; outbreaks; and quality and risk management.  Infection events are entered onto the Summerset national electronic system.  The infection control officer provides infection control data, trends and relevant information to the Infection Control Committee and staff meetings.  Committee meeting minutes and graphs are displayed for staff to see.</w:t>
            </w:r>
          </w:p>
          <w:p w:rsidR="00EB7645" w:rsidRPr="00BE00C7" w:rsidP="00BE00C7">
            <w:pPr>
              <w:pStyle w:val="OutcomeDescription"/>
              <w:spacing w:before="120" w:after="120"/>
              <w:rPr>
                <w:rFonts w:cs="Arial"/>
                <w:b w:val="0"/>
                <w:lang w:eastAsia="en-NZ"/>
              </w:rPr>
            </w:pPr>
            <w:r w:rsidRPr="00BE00C7">
              <w:rPr>
                <w:rFonts w:cs="Arial"/>
                <w:b w:val="0"/>
                <w:lang w:eastAsia="en-NZ"/>
              </w:rPr>
              <w:t>Infection control internal audits are completed, and corrective actions raised for non-compliance.  There have been no outbreaks since the previous audit.  Management is aware of reporting requirements.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Areas for improvement are identified, corrective actions developed and followed-up.  The facility is benchmarked against other Summerset facilities of similar size and benchmarking results are fed back to the infection control officer and used to identify areas for improvement.  Infection control audits are completed, and corrective actions are signed off (sighted).  Surveillance results are used to identify infection control activities and education needs within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around restraints and enablers.  Staff receive mandatory training around restraint minimisation that includes annual competency assessments.  Annual restraint competency questionnaires ask staff to differentiate a restraint from an enabler. The restraint coordinator role is delegated to the clinical manager (RN).  There is nil restraint or enabler use.</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by the Lake</w:t>
    </w:r>
    <w:bookmarkEnd w:id="58"/>
    <w:r>
      <w:rPr>
        <w:rFonts w:cs="Arial"/>
        <w:sz w:val="16"/>
        <w:szCs w:val="20"/>
      </w:rPr>
      <w:tab/>
      <w:t xml:space="preserve">Date of Audit: </w:t>
    </w:r>
    <w:bookmarkStart w:id="59" w:name="AuditStartDate1"/>
    <w:r>
      <w:rPr>
        <w:rFonts w:cs="Arial"/>
        <w:sz w:val="16"/>
        <w:szCs w:val="20"/>
      </w:rPr>
      <w:t>25 May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