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Whitianga Continuing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Whitianga Continuing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June 2021</w:t>
      </w:r>
      <w:bookmarkEnd w:id="7"/>
      <w:r w:rsidRPr="009418D4">
        <w:rPr>
          <w:rFonts w:cs="Arial"/>
        </w:rPr>
        <w:tab/>
        <w:t xml:space="preserve">End date: </w:t>
      </w:r>
      <w:bookmarkStart w:id="8" w:name="AuditEndDate"/>
      <w:r w:rsidR="00A4268A">
        <w:rPr>
          <w:rFonts w:cs="Arial"/>
        </w:rPr>
        <w:t>25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Whitianga Continuing Care provides rest home and hospital level care for up to 54 residents. The facility is operated by Oceania Healthcare Limited and is managed by a business and care manager.</w:t>
      </w:r>
    </w:p>
    <w:p w:rsidRPr="00A4268A">
      <w:pPr>
        <w:spacing w:before="240" w:line="276" w:lineRule="auto"/>
        <w:rPr>
          <w:rFonts w:eastAsia="Calibri"/>
        </w:rPr>
      </w:pPr>
      <w:r w:rsidRPr="00A4268A">
        <w:rPr>
          <w:rFonts w:eastAsia="Calibri"/>
        </w:rPr>
        <w:t>Residents and families reported satisfaction with the care provided.</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management, staff and a general practitioner.</w:t>
      </w:r>
    </w:p>
    <w:p w:rsidRPr="00A4268A">
      <w:pPr>
        <w:spacing w:before="240" w:line="276" w:lineRule="auto"/>
        <w:rPr>
          <w:rFonts w:eastAsia="Calibri"/>
        </w:rPr>
      </w:pPr>
      <w:r w:rsidRPr="00A4268A">
        <w:rPr>
          <w:rFonts w:eastAsia="Calibri"/>
        </w:rPr>
        <w:t>There were no areas requiring improvement from the previous audit and no new requirements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Effective communication to residents and their family members occurs and interpreter service can be accessed as required.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 investigations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Whitianga Continuing Care.  An organisational strategic plan and a specific business plan for the facility includes a mission, vision and values statement that reflects a person/family-centred approach for all residents. Information packs provided to residents and their families on admission and displayed within the facility include this information. Staff are also provided with this information during their orientation and ongoing training.</w:t>
      </w:r>
    </w:p>
    <w:p w:rsidRPr="00A4268A">
      <w:pPr>
        <w:spacing w:before="240" w:line="276" w:lineRule="auto"/>
        <w:rPr>
          <w:rFonts w:eastAsia="Calibri"/>
        </w:rPr>
      </w:pPr>
      <w:r w:rsidRPr="00A4268A">
        <w:rPr>
          <w:rFonts w:eastAsia="Calibri"/>
        </w:rPr>
        <w:t>Quality and risk management systems that support the provision of clinical care and quality improvement are well embedded. Policies are current and reflect good practice. Reports to the national office provide monthly monitoring of service delivery.</w:t>
      </w:r>
    </w:p>
    <w:p w:rsidRPr="00A4268A">
      <w:pPr>
        <w:spacing w:before="240" w:line="276" w:lineRule="auto"/>
        <w:rPr>
          <w:rFonts w:eastAsia="Calibri"/>
        </w:rPr>
      </w:pPr>
      <w:r w:rsidRPr="00A4268A">
        <w:rPr>
          <w:rFonts w:eastAsia="Calibri"/>
        </w:rPr>
        <w:t>The service is managed by a business and care manager who has been in the position for six years. The business and care manager is supported by the clinical manager and Oceania senior managers.</w:t>
      </w:r>
    </w:p>
    <w:p w:rsidRPr="00A4268A">
      <w:pPr>
        <w:spacing w:before="240" w:line="276" w:lineRule="auto"/>
        <w:rPr>
          <w:rFonts w:eastAsia="Calibri"/>
        </w:rPr>
      </w:pPr>
      <w:r w:rsidRPr="00A4268A">
        <w:rPr>
          <w:rFonts w:eastAsia="Calibri"/>
        </w:rPr>
        <w:t>An internal audit programme is in place. Adverse events are documented on adverse events forms electronically. Corrective action plans for deficits relating to internal audits, adverse events and satisfaction surveys are developed, implemented, monitored and signed off.  Various meetings are held on a regular basis.</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implemented.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Registered nurses are always rostered on duty. The business and care manager and clinical manager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delivered in a manner that provides continuity and promotes a team approach for the care of the residents. There are policies and procedures in place, which support assessment, planning, provision of care, evaluation and transfers for residents. These safely meet their needs and the facility’s contractual obligations. The multidisciplinary team includes a clinical manager, registered nurses and a facility general practitioner who access the needs of the resident on admission. Care plans are individualised, and resident focused with an interRAI assessments completed.  Files reviewed demonstrated the care provided and the needs of the residents are reviewed and evaluated in a timely manner.</w:t>
      </w:r>
    </w:p>
    <w:p w:rsidRPr="00A4268A" w:rsidP="00621629">
      <w:pPr>
        <w:spacing w:before="240" w:line="276" w:lineRule="auto"/>
        <w:rPr>
          <w:rFonts w:eastAsia="Calibri"/>
        </w:rPr>
      </w:pPr>
      <w:r w:rsidRPr="00A4268A">
        <w:rPr>
          <w:rFonts w:eastAsia="Calibri"/>
        </w:rPr>
        <w:t>The service provides a planned activity program which has a variety for individual and group activities and maintains a link with the community.</w:t>
      </w:r>
    </w:p>
    <w:p w:rsidRPr="00A4268A" w:rsidP="00621629">
      <w:pPr>
        <w:spacing w:before="240" w:line="276" w:lineRule="auto"/>
        <w:rPr>
          <w:rFonts w:eastAsia="Calibri"/>
        </w:rPr>
      </w:pPr>
      <w:r w:rsidRPr="00A4268A">
        <w:rPr>
          <w:rFonts w:eastAsia="Calibri"/>
        </w:rPr>
        <w:t>The medication policy identifies with current best practice for medication management and the staff who administer the medications are competent in medication management.</w:t>
      </w:r>
    </w:p>
    <w:p w:rsidRPr="00A4268A" w:rsidP="00621629">
      <w:pPr>
        <w:spacing w:before="240" w:line="276" w:lineRule="auto"/>
        <w:rPr>
          <w:rFonts w:eastAsia="Calibri"/>
        </w:rPr>
      </w:pPr>
      <w:r w:rsidRPr="00A4268A">
        <w:rPr>
          <w:rFonts w:eastAsia="Calibri"/>
        </w:rPr>
        <w:t>The onsite kitchen meets the nutritional needs of the residents and there is food available 24 hours of the day. Residents with specific dietary requirements and likes and dislikes are well catered for. On discussion with residents and family they expressed satisfaction with the meals and the choice available. The service has a four-week rotating menu which has been approved by a registered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enablers and restraints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led by the clinical manager. The infection control policy identifies current best practice for infection control management.  Infection data is collated on a monthly basis by the clinical manager and presented at the monthly infection control meeting, registered nurse meeting and general staff meeting.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has been received in the last year and this has been entered into the complaints register. Complaint documentation was reviewed and actions taken were documented and completed within the timeframes specified in the Code. The action plan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stated they are kept well informed about any changes to their/their relative’s status and outcomes of regular and any urgent medical reviews. The satisfaction survey for 2021 and resident’s files confirmed this. Staff understood the principles of open disclosure, which is supported by policy and procedures that meet the requirements of the Code of Health and Disability Services Consumers’ Rights (the Code). Newsletters are sent to families that keep them up to date with the activities relating to the facility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via the District Health Board (DHB) when required. The business and care manager (BCM) advised they can also contact the local language school, or resident’s family members as well as staff who can act as interpreters, where appropriate. There is a wide range of staff with different cultures who have English as their second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Healthcare Limited vision, values, mission statement and philosophy are displayed. The organisation has systems in place recording the scope, direction and goals of the organisation. An operational and business plan for Whitianga includes strengths and weaknesses and an executive summary. The BCM stated they review the plan regularly. The managers provide monthly status reports to the national office. Reports include, but are not limited to, quality and risk management issues, occupancy numbers, human resource issues, complaints, abuse, quality improvements, policies, education, issues, internal audit outcomes and clinical indicators.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BCM who has been in the position for six years. The BCM advised they have resigned from the position and the organisation is currently advertising for a replacement. The clinical manager (CM) is responsible for overseeing the clinical services. The CM has been in this role for approximately two years and prior to that was part of the RN team working on the floor in the facility. The appointment of the CM has been notified to HealthCERT.</w:t>
            </w:r>
          </w:p>
          <w:p w:rsidR="00EB7645" w:rsidRPr="00BE00C7" w:rsidP="00BE00C7">
            <w:pPr>
              <w:pStyle w:val="OutcomeDescription"/>
              <w:spacing w:before="120" w:after="120"/>
              <w:rPr>
                <w:rFonts w:cs="Arial"/>
                <w:b w:val="0"/>
                <w:lang w:eastAsia="en-NZ"/>
              </w:rPr>
            </w:pPr>
            <w:r w:rsidRPr="00BE00C7">
              <w:rPr>
                <w:rFonts w:cs="Arial"/>
                <w:b w:val="0"/>
                <w:lang w:eastAsia="en-NZ"/>
              </w:rPr>
              <w:t>Whitianga Continuing Care (Whitianga) is certified to provide hospital and rest home level care. All beds have been approved as dual purpose apart from one room which is certified for rest home level only. Contracts with the DHB include aged related residential care services (23 hospital and 22 rest home), respite (nil), long term chronic health conditions (one resident under the age of 65 years) and post-acute convalescent care (PACC) (one hospital level).  Whitianga also has a contract with the Accident Compensation Commission (ACC) on a case-by-case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documented quality improvement policy defines quality, quality assurance and quality improvement. The facility’s quality improvement is defined in the quality plan, the policies and procedures and Oceania Healthcare model of care and quality and risk framework which guides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robust reporting systems utilising a number of clinical indicators such as infections, choking, complaints, falls, medication errors, weight loss, wounds, and food safety and implementation of the internal audit programme. Clinical indicators are collated monthly by the CM. The internal audit programme is implemented as scheduled and documentation reviewed evidenced quality improvement data is managed well. Data is being collected and collated with analysis of data that identifies any trends. Corrective action plans from quality activities are developed, implemented, reviewed and closed out. Month by month graphs are generated as well as benchmarking with other like facilities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quality improvement, risk management and clinical indicators are discussed at the various meetings held. Copies of meeting minutes are available for staff to review and sign to confirm that they have read them. Staff confirmed they are kept well informed of quality improvements and any subsequent changes to procedures and practice through the meetings. Residents and families are notified of changes and events at the residents’ meetings. Residents and families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families are completed as part of the annual internal audit programme. Surveys reviewed evidenced high satisfaction with the services provided apart from food choices. Documentation reviewed evidenced this has been resolved and residents stated they have at least two choices now and they are happy with that. </w:t>
            </w:r>
          </w:p>
          <w:p w:rsidR="00EB7645" w:rsidRPr="00BE00C7" w:rsidP="00BE00C7">
            <w:pPr>
              <w:pStyle w:val="OutcomeDescription"/>
              <w:spacing w:before="120" w:after="120"/>
              <w:rPr>
                <w:rFonts w:cs="Arial"/>
                <w:b w:val="0"/>
                <w:lang w:eastAsia="en-NZ"/>
              </w:rPr>
            </w:pPr>
            <w:r w:rsidRPr="00BE00C7">
              <w:rPr>
                <w:rFonts w:cs="Arial"/>
                <w:b w:val="0"/>
                <w:lang w:eastAsia="en-NZ"/>
              </w:rPr>
              <w:t>Policies are current and align with the Health and Disability Sector Standards and reflect accepted good practice guidelines. Policies are reviewed nationally with comments sought from staff and reviewed by the clinical governance group. New and revised policies are discussed at staff meetings and as part of relevant in-service education. Staff sign to confirm that they have read and understood each new policy and/or update. Staff confirmed they are made aware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A health and safety plan and objectives, plus policies and procedures, are documented along with a hazard management programme. Health and safety is monitored as part of the annual internal audit programme. Staff confirmed an awareness of health and safety processes and of their responsibilities to report hazards, accidents and incidents promptly. Accidents, incidents and corrective actions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representatives demonstrated good knowledge of the role and have completed the health and safety training. Hazard identification forms are completed when a hazard is identified, addressed and risks minimised. There is a national risk register plus a site-specific hazard/risk register that is reviewed at each health and safety meeting and updated at least annually or when a new hazard is identified. Review of the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adverse event forms electronically. All care issues are received by the CM who is alerted by email. Sentinel events, including but not limited to, absconding and sudden death are reported to the appropriate person in national office. All incidents/accidents are investigated with corrective actions developed and implemented and closed out. Documentation reviewed and interviews with staff indicated adverse events are managed well.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BCM reported there have been Section 31 notifications to HealthCERT since the previous audit. These include two power outages, a call bell outage and an event leading to death of a resident. Review of documentation relating to this latter notification evidenced the investigation undertaken and the action plan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and procedures that meets the requirements of legislation is in place. The skills and knowledge required for each position is documented in job descriptions, with accountabilities, responsibilities and reporting lines clearly identified.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demonstrated that recruitment processes for all staff include an application, CV, reference checks, police vetting, a current work visa where relevant,  identification verification, a position specific job description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A system is in place to ensure that annual practising certificates are current. Current certificates were evidenced for all staff and contractors who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is position specific and covers the essential components of the services provided. Health care assistants (HCAs) are buddied with an experienced staff member until they demonstrate competency on specific tasks. </w:t>
            </w:r>
          </w:p>
          <w:p w:rsidR="00EB7645" w:rsidRPr="00BE00C7" w:rsidP="00BE00C7">
            <w:pPr>
              <w:pStyle w:val="OutcomeDescription"/>
              <w:spacing w:before="120" w:after="120"/>
              <w:rPr>
                <w:rFonts w:cs="Arial"/>
                <w:b w:val="0"/>
                <w:lang w:eastAsia="en-NZ"/>
              </w:rPr>
            </w:pPr>
            <w:r w:rsidRPr="00BE00C7">
              <w:rPr>
                <w:rFonts w:cs="Arial"/>
                <w:b w:val="0"/>
                <w:lang w:eastAsia="en-NZ"/>
              </w:rPr>
              <w:t>The education and research manager and team at national office develop the role specific mandatory annual education and training module/schedule. This includes topics relevant to all services and levels of care provided. Training is currently provided through study days repeated throughout the year. Online training with a quiz is currently being implemented throughout the Oceania facilities. There are electronic systems and processes in place to ensure that all staff complete their required mandatory training modules and competencies. The CM is responsible for alerting staff as to what training they need to complete and when training is overdue. Specific training is also developed and provided by the CM for staff. All RNs and some health care assistants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CM and six of the eight RNs have completed interRAI assessment training and competencies. Care staff complete annual competencies or demonstrate awareness on specific tasks, for example medication management, restraint, moving and handling, and health and safety awareness. Education session attendance records evidenced that ongoing education is provided relevant to the services delivered. Interviews and training records reviewed confirmed that all staff, including RNs undertake at least eight hours of relevant education and training hours per annum. Health care assistants are encouraged to complete Careerforce training. Currently 11 HCAs have attained level 4, four have attained level 3 and one has attended level 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An annual performance appraisal schedule is in place. All staff files evidenced staff have completed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staffing policy provides guidelines to ensure staffing levels are sufficient to meet the needs of residents’ acuity and the minimum requirements of the DHB contract. Staffing levels are determined by acuity, the layout of the facility and occupancy to ensure there is appropriate skill mix of staff available. Staffing is adjusted as residents’ acuity changes. When required, additional staff are rostered on duty. The BCM reported additional RNs are rostered on the morning shift when RNs need to complete assessments and specific roles such as the coordinator for infection prevention and control.</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and HCAs available to safely maintain the rosters for the provision of care. Rosters sighted reflected adequate staffing levels to meet current resident acuity and bed occupancy. The BCM and CM work fulltime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On the morning shift there is an RN, a senior HCA who is medication competent and five other HCAs. On the afternoon shift there is an RN plus a senior HCA who is medication competent and five HCAs. On the night shift- an RN plus two HCAs and another HCA is rostered on when the number of residents increases to 49. The BCM and CM are on call after hours.</w:t>
            </w:r>
          </w:p>
          <w:p w:rsidR="00EB7645" w:rsidRPr="00BE00C7" w:rsidP="00BE00C7">
            <w:pPr>
              <w:pStyle w:val="OutcomeDescription"/>
              <w:spacing w:before="120" w:after="120"/>
              <w:rPr>
                <w:rFonts w:cs="Arial"/>
                <w:b w:val="0"/>
                <w:lang w:eastAsia="en-NZ"/>
              </w:rPr>
            </w:pPr>
            <w:r w:rsidRPr="00BE00C7">
              <w:rPr>
                <w:rFonts w:cs="Arial"/>
                <w:b w:val="0"/>
                <w:lang w:eastAsia="en-NZ"/>
              </w:rPr>
              <w:t>Of the eight RNs, all are NZ trained apart from three who trained offshore. The RNs experience in aged care ranges from 18 months to 10 plus years, with the majority in the 10 year plus range.</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families stated they felt there were sufficient staff on each shift to meet the needs of residents.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and pharmacy check medications against the prescription, then every Thursday and Friday one RN and one HCA check each blister pack.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Controlled drugs are signed in by the RN and pharmacist and a pharmacy check is carried out every six months. This was evidenced in the controlled drugs register.</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temperature is also monitored.</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included the prescriber’s signature and date recorded on the commencement and discontinuation of medicines and all requirements for pro re nata (PRN) medicines met. The required three-monthly GP review was consistently recorded on the medicine chart.  Standing orders are not used. Verbal orders are rare and must be given to a RN, then repeated to the HCA. The documentation is signed and scanned into the electronic patient notes. Vaccines are not stored on site.  Ninety percent of staff have had the required COVID-19 vaccines and each resident has received their first vaccination with a date for the second in July.</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with a cook and kitchen team and is in line with recognised nutritional guidelines for older people. The menu follows summer and winter patterns and has been reviewed by a qualified dietitian within the last two years.  Recommendations made in that review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Industry which expires on the 28 March 2022. At time of audit the kitchen was observed to be clean, and the cleaning schedule was maintained.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high-risk items, are monitored, and recorded as part of the plan using an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two menu plans which support residents with specific culture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families/whānau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 needs was evident in all areas of service provision. The GP reported that the service is providing, “A very pleasing level of care, I trust them”. The GP interviewed confirmed that medical orders are carried out in a timely manner and staff are very proactive at contacting me should a resident’s condition change. Care staff confirmed that care was provided as outlined in the documentation. A range of equipment and resources are available and suited to the level/s of care provided and in accordance with each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full-time activities co-ordinator who supports the residents Monday to Friday 8.30am until 5.00pm. The programme is overseen by the clinical manager. The activities co-ordinator was new to the role but expressed a wish to complete their national certificate in diversional therapy. A lifestyle and leisure assessment are completed, and a history undertaken “About Me” on admission to ascertain the resident’s needs, interests, abilities and social requirements. Activities assessments are regularly reviewed to help formulate a plan that is meaningful to the resident. The activities are evaluated daily and documented once a week and as part of a six monthly multi-disciplinary care plan review. They have one resident who identifies as Māori, they are greeted in their native tongue and support is given to anything culturally appropriate for them. Family are coming in to perform a Kapa Haka for the resident which they want to do and have invited the activities co-ordinator to watch.  Activities reflect the resident’s goals, ordinary patterns of life and include normal community activities, regular church services, housie, knitting, and visiting entertainers. There are individual and group activities offered and a weekly van outing. There are two lounge areas and an activities room as well as the individual’s bedrooms where they could watch their own television or listen to the radio. The activities calendar is on display and each resident is given a copy of the weekly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have the opportunity to evaluate the programme through day-to-day discussions with the activities co-ordinator and by completing the six monthly resident satisfaction survey.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documented in the progress notes. If any change is noted this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resident’s interRAI re-assessment, or as a resident’s needs change. Where progress is different from what is expected, the service responds by initiating changes to the plan of care. Examples of short-term care plans being constantly reviewed, and progress evaluated were noted for infections, wounds, weight loss. When necessary and for ongoing problems, long term care plans are added to and updated. Residents’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at the main entrance to the facility that expires on the 8 September 2021. There have been no structural alterations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infection prevention and control (IPC) Coordinator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clinical manager and reported to the business and care manager.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highlighted short term and long-term care planning to reduce and minimise the risk of infection. Healthcare assistants interviewed demonstrated knowledge of residents who have a higher risk of infections and the interventions required.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measures recommended by the Ministry of Health for the management of COVID-19 pandemic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highlighted short term and long-term care planning to reduce and minimise the risk of infection. Health Care Assistants interviewed demonstrated knowledge of residents who have a higher risk of infections and the interventions required.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details and complies with the requirements of the standard. The service has a restraint free philosophy. There were four residents using an enabler and three residents using a restraint at the time of audit. Equipment is used, such has low beds, fallout mats and sensor mats, so that restraint is not required. Staff interviewed demonstrated a sound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Whitianga Continuing Care</w:t>
    </w:r>
    <w:bookmarkEnd w:id="58"/>
    <w:r>
      <w:rPr>
        <w:rFonts w:cs="Arial"/>
        <w:sz w:val="16"/>
        <w:szCs w:val="20"/>
      </w:rPr>
      <w:tab/>
      <w:t xml:space="preserve">Date of Audit: </w:t>
    </w:r>
    <w:bookmarkStart w:id="59" w:name="AuditStartDate1"/>
    <w:r>
      <w:rPr>
        <w:rFonts w:cs="Arial"/>
        <w:sz w:val="16"/>
        <w:szCs w:val="20"/>
      </w:rPr>
      <w:t>24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