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Roseanne Retirement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Roseanne Retirement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Roseanne Retirement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June 2021</w:t>
      </w:r>
      <w:bookmarkEnd w:id="7"/>
      <w:r w:rsidRPr="009418D4">
        <w:rPr>
          <w:rFonts w:cs="Arial"/>
        </w:rPr>
        <w:tab/>
        <w:t xml:space="preserve">End date: </w:t>
      </w:r>
      <w:bookmarkStart w:id="8" w:name="AuditEndDate"/>
      <w:r w:rsidR="00A4268A">
        <w:rPr>
          <w:rFonts w:cs="Arial"/>
        </w:rPr>
        <w:t>3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Roseanne Retirement Home provides rest home level care for up to 17 residents. The owner/manager oversees the organisation and monitors organisational performance. This is the first audit since 2018. The 2020 surveillance audit was cancelled due to the COVID-19 pandemic. Previously identified areas requiring improvement from the 2018 audit were included in this audit. There have been no changes to the facility since the last audit. The number of approved beds has increased by one since the last audit.</w:t>
      </w:r>
    </w:p>
    <w:p w:rsidRPr="00A4268A">
      <w:pPr>
        <w:spacing w:before="240" w:line="276" w:lineRule="auto"/>
        <w:rPr>
          <w:rFonts w:eastAsia="Calibri"/>
        </w:rPr>
      </w:pPr>
      <w:r w:rsidRPr="00A4268A">
        <w:rPr>
          <w:rFonts w:eastAsia="Calibri"/>
        </w:rPr>
        <w:t>This certification audit was conducted against the Health and Disability Service Standards and the provider’s agreement with the district health board (DHB). The audit process included the review of policies, procedures, a sample of residents and staff records, observations and interviews with residents, family, management, staff, and a general practitioner (GP).</w:t>
      </w:r>
    </w:p>
    <w:p w:rsidRPr="00A4268A">
      <w:pPr>
        <w:spacing w:before="240" w:line="276" w:lineRule="auto"/>
        <w:rPr>
          <w:rFonts w:eastAsia="Calibri"/>
        </w:rPr>
      </w:pPr>
      <w:r w:rsidRPr="00A4268A">
        <w:rPr>
          <w:rFonts w:eastAsia="Calibri"/>
        </w:rPr>
        <w:t>All previously identified areas of improvement have been addressed. There were no new areas of improvement identified during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rest home provides care that reflects the Code of Health and Disability Services Consumer Rights (the Code). Information about the Code is promoted and shared with residents, family/whanau members and staff. Residents are encouraged to maintain cultural values and beliefs and connections with their community. Care and support are delivered in line with good practice. There is open communication between staff, residents, and family/whanau. Access to interpreter services is provided if required. There are processes in place for gaining informed consent and residents’ choices are respected. Residents and family/whanau advised that the staff treats them with dignity and respect. </w:t>
      </w:r>
    </w:p>
    <w:p w:rsidRPr="00A4268A">
      <w:pPr>
        <w:spacing w:before="240" w:line="276" w:lineRule="auto"/>
        <w:rPr>
          <w:rFonts w:eastAsia="Calibri"/>
        </w:rPr>
      </w:pPr>
      <w:r w:rsidRPr="00A4268A">
        <w:rPr>
          <w:rFonts w:eastAsia="Calibri"/>
        </w:rPr>
        <w:t xml:space="preserve">The complaints process meets consumer rights legislation.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objectives, values and vision for the organisation are documented and reviewed. There is an implemented quality and risk management framework. The required policies and procedures are documented. A range of quality related data is gathered, collated and used to make service improvements where required. Adverse events are managed in line with best practice and reported as required.  </w:t>
      </w:r>
    </w:p>
    <w:p w:rsidRPr="00A4268A">
      <w:pPr>
        <w:spacing w:before="240" w:line="276" w:lineRule="auto"/>
        <w:rPr>
          <w:rFonts w:eastAsia="Calibri"/>
        </w:rPr>
      </w:pPr>
      <w:r w:rsidRPr="00A4268A">
        <w:rPr>
          <w:rFonts w:eastAsia="Calibri"/>
        </w:rPr>
        <w:t xml:space="preserve">Human resource policies and procedures are in place and are implemented. The appointment, orientation and management of staff is based on current good practice. A systematic approach to identify and deliver ongoing training supports safe service delivery and includes regular individual performance reviews.  Staffing levels and skill mix meet the needs of residents. </w:t>
      </w:r>
    </w:p>
    <w:p w:rsidRPr="00A4268A">
      <w:pPr>
        <w:spacing w:before="240" w:line="276" w:lineRule="auto"/>
        <w:rPr>
          <w:rFonts w:eastAsia="Calibri"/>
        </w:rPr>
      </w:pPr>
      <w:r w:rsidRPr="00A4268A">
        <w:rPr>
          <w:rFonts w:eastAsia="Calibri"/>
        </w:rPr>
        <w:t xml:space="preserve">Residents’ information is securely maintained, integrated, current and up to date.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owner/manager is responsible for the development of care plans with input from the residents, staff, and family member representatives. Care plans and all assessments are developed and evaluated within the required time frames that safely meet the needs of the resident and contractual requirements.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Residents and family/whanau expressed satisfaction with the activities programme in place. </w:t>
      </w:r>
    </w:p>
    <w:p w:rsidRPr="00A4268A" w:rsidP="00621629">
      <w:pPr>
        <w:spacing w:before="240" w:line="276" w:lineRule="auto"/>
        <w:rPr>
          <w:rFonts w:eastAsia="Calibri"/>
        </w:rPr>
      </w:pPr>
      <w:r w:rsidRPr="00A4268A">
        <w:rPr>
          <w:rFonts w:eastAsia="Calibri"/>
        </w:rPr>
        <w:t xml:space="preserve">There is a medication management system in place and medication is administered by staff with current medication competencies. All medications are reviewed by the general practitioners (GPs) according to policy. </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is appropriate to the needs of the residents. There is a current building warrant of fitness. All equipment was observed to be in good working order. Well-furnished communal areas, dining and external areas are accessible to all residents. The facility has plenty of natural light and is maintained at a comfortable temperature. Bedroom areas are sufficient in size to allow for personal possessions and accommodate mobility aids, equipment and staff caring for the resident. Toilet and bathroom facilities are sufficiently equipped and well maintained. Maintenance is completed in an ongoing manner. Applicable building and fire regulations are met. </w:t>
      </w:r>
    </w:p>
    <w:p w:rsidRPr="00A4268A">
      <w:pPr>
        <w:spacing w:before="240" w:line="276" w:lineRule="auto"/>
        <w:rPr>
          <w:rFonts w:eastAsia="Calibri"/>
        </w:rPr>
      </w:pPr>
      <w:r w:rsidRPr="00A4268A">
        <w:rPr>
          <w:rFonts w:eastAsia="Calibri"/>
        </w:rPr>
        <w:t>Cleaning and laundry services meet infection control requirements and are of a good standard. Collection, storage and disposal of waste is in accord with council and infection control principles. Staff comply with safe waste and hazardous substances procedures.</w:t>
      </w:r>
    </w:p>
    <w:p w:rsidRPr="00A4268A">
      <w:pPr>
        <w:spacing w:before="240" w:line="276" w:lineRule="auto"/>
        <w:rPr>
          <w:rFonts w:eastAsia="Calibri"/>
        </w:rPr>
      </w:pPr>
      <w:r w:rsidRPr="00A4268A">
        <w:rPr>
          <w:rFonts w:eastAsia="Calibri"/>
        </w:rPr>
        <w:t>Appropriate processes are in place to maintain the safety and security of residents at all times. The organisation has sufficient supplies in the event of an emergency or pandemic.</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documented policies and procedures that support the minimisation of restraint. There were no residents using restraints or enablers on the day of the audit. The use of enablers is voluntary for the safety of residents in response to individual requests. Staff education on restraints, enablers and the management of challenging behaviour is provided.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management systems are in place to minimise the risk of infection to residents, visitors, and other service providers. The infection control coordinator is responsible for coordinating the education and training of staff. Documentation evidenced that relevant infection control education is provided to staff. Infection data is collated monthly, analysed, and reported during staff meetings. </w:t>
      </w:r>
    </w:p>
    <w:p w:rsidRPr="00A4268A">
      <w:pPr>
        <w:spacing w:before="240" w:line="276" w:lineRule="auto"/>
        <w:rPr>
          <w:rFonts w:eastAsia="Calibri"/>
        </w:rPr>
      </w:pPr>
      <w:r w:rsidRPr="00A4268A">
        <w:rPr>
          <w:rFonts w:eastAsia="Calibri"/>
        </w:rPr>
        <w:t>The infection control surveillance and associated activities are appropriate for the size and complexity of the service. Surveillance for infection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00"/>
        <w:gridCol w:w="1280"/>
        <w:gridCol w:w="91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confirmed that services provided are in accordance with the consumer rights legislation. The staff understood the requirements of the Code of Health and Disability Services Consumers’ Rights (the Code) and how it is implemented into everyday practice. Staff were observed demonstrating respectful communication, encouraging independence, providing options, and maintaining dignity and privacy.  Staff have received training on the Code as part of the orientation and in ongoing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Owner/manager and care staff interviewed understood the principles and practice of informed consent. Informed consent policies provide relevant guidance to staff. Clinical files reviewed show that informed consent has been gained appropriately using the organisation’s standard consent form. These are signed by the enduring power of attorney (EPOA) and the general practitioner makes a clinically based decision on resuscitation authorisation. The owner/manager reported that all advance directives are acted upon when valid. There were only three residents who completed advance directives documentation, and staff said these are discussed with residents six weeks post-admission and on an ongoing basis. Staff was observed to gain consent for day-to-day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and support is provided to residents and their family/whanau as part of the admission process. Posters and brochures related to the advocacy services were displayed and available in the facility. Family members and residents were aware of the advocacy service, how to access this and their right to have support persons of their choice. A representative from a known community agency provides staff training on advocacy and visits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access to community services and receive visits from family and friends as desired. Family/whanau were observed picking up their family member for community outings and support is provided for residents to access specialist appointments as required. Records of visitors were maintained and phone communication with family/whanau is documented. The facility has unrestricted visiting hours and encourages visits from residents’ families and friends. Family/whanau stated they felt welcome when they visited.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 is in line with consumer rights legislation. Previously identified areas requiring improvement regarding the complaints process had been addressed and were closed out by the DHB in 2020.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three complaints to external authorities. Two to the Office of the Health and Disability Commissioner (HDC) and one to the DHB. Two of these complaints have been dismissed. One HDC complaint and the DHB complaint were dismissed without merit. The other HDC complaint still continues, although already ruled upon, with the manager producing a final report to the HDC with the improvements and completion of their recommendations.</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registered, and a full running record of all actions and communications, has been maintained. All the recommendations made by the HDC have been fully implemented. Residents and family interviewed stated they understood the complaints process and were satisfied with the services they are receiving. There was evidence that any day to day concerns were addressed and that suggestions for improvement were followed up. This was evident in records of resident meetings minutes and satisfaction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receive information regarding their rights on admission as part of the welcome pack. Explanations of consumer rights is provided by the manager/owner. Signed admission agreements includes information on the Code. Posters of the Code were displayed on notice boards around the facility. Residents reported awareness of their rights when receiving care. Pamphlets with information about the Nationwide Health and Disability Advocacy Services and complaint forms were displayed at the entrance and were easily accessible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their own rooms, with one bedroom shared by a couple. Private rooms maintain the resident’s dignity during care by providing physical, visual, and auditory privacy. The manager/owner confirmed that residents’ medical examinations are conducted in residents’ bedrooms.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abuse and neglect and training on abuse and neglect is provided for all staff. This was confirmed in staff interviews and training records sampled. Staff were aware of the reporting requirements if any alleged abuse or neglect is suspected.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maintain their independence. Individual values, beliefs and cultural needs are identified during the assessment process and are incorporated into everyday practice. This was evident in the resident’s records. Residents and family/whanau confirmed that they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Maori health policy, and related procedures, are written in line with current strategies and how they can be applied in practice, in this setting. The Māori health policy referred to the Treaty of Waitangi, models of health and barriers to access. Service provision supports and acknowledges the importance of whanau/family involvement as evidenced in the residents’ files and confirmed by family. Guidance on tikanga best practice is available if required. Information on the Code is displayed in English and Te Reo.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individual values and beliefs including ethnic, cultural and spiritual beliefs were identified during the admission assessment. The identified needs were documented in the residents’ care plans. The residents and family/whanau confirmed being involved in the assessment process and confirmed that their cultural values or spiritual beliefs are safely met. Staff have received training on cultural safety as verified in the training records. There were policies and procedures to guide staff in providing care in a culturally safe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that residents were free from any type of discrimination, harassment or exploitation and felt safe.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discrimination or inappropriate behaviours. Performance appraisals include staff behaviour and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guide practice.  There is a training programme implemented and staff interviewed described best practices based on policies and procedures. The general practitioner (GP) confirmed promptness and appropriateness of medical intervention when medical requests are sought. Staff reported they receive management support for external education and access their professional networks to support contemporary good practice. The following care staff had completed different levels of the Careerforce qualifications; level one (two), level three (two), and level four (five)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manager/owner stated that there is an open-door policy and residents and family can communicate with the manager when required. This was confirmed in interviews with residents and family/whanau. Communication with family was evident in the adverse events records reviewed. Residents and family/whanau stated that they were kept well informed about any changes to health status and changes made to medical treatment. Resident meeting minutes also confirmed that residents felt safe to report any day to day concerns. The service has access to interpreter services through the DHB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owned and operated by the manager/director who has owned the business since 2010. Prior to this the manager was working at the facility as the registered nurse. The manager has a current practicing certificate, maintains the required education hours relevant to the role and has a diploma in gerontology nursing. The manager is on the infection prevention and control support group with the DHB and the palliative care support group with the hospice. The manager is well supported by an administrator.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mission, vision and values of the organisation are documented and are reviewed annually. The objectives, risks and opportunities for the organisation are comprehensively documented in the current strategic business plan. The strategic plan also provides full details regarding the organisations planned expenditure, ongoing maintenance requirements and COVID-19 response. </w:t>
            </w:r>
          </w:p>
          <w:p w:rsidR="00EB7645" w:rsidRPr="00BE00C7" w:rsidP="00BE00C7">
            <w:pPr>
              <w:pStyle w:val="OutcomeDescription"/>
              <w:spacing w:before="120" w:after="120"/>
              <w:rPr>
                <w:rFonts w:cs="Arial"/>
                <w:b w:val="0"/>
                <w:lang w:eastAsia="en-NZ"/>
              </w:rPr>
            </w:pPr>
            <w:r w:rsidRPr="00BE00C7">
              <w:rPr>
                <w:rFonts w:cs="Arial"/>
                <w:b w:val="0"/>
                <w:lang w:eastAsia="en-NZ"/>
              </w:rPr>
              <w:t>The rest home is certified to provider 17 rest home level beds. This is an increase in one bed, from 16 to 17, to accommodate a couple. The increase was approved by the Ministry of Health in February 2021. The rest home also has contracts with the DHB to provide respite care and a day care programme. There were no residents requiring respite services on the day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administrator can provide some management/business responsibilities in the absence of the manager. The administration is currently completing a bachelor’s in business studies and has been with the organisation for eight years. The administrator takes responsibility for financial management, health and safety and strategic planning. </w:t>
            </w:r>
          </w:p>
          <w:p w:rsidR="00EB7645" w:rsidRPr="00BE00C7" w:rsidP="00BE00C7">
            <w:pPr>
              <w:pStyle w:val="OutcomeDescription"/>
              <w:spacing w:before="120" w:after="120"/>
              <w:rPr>
                <w:rFonts w:cs="Arial"/>
                <w:b w:val="0"/>
                <w:lang w:eastAsia="en-NZ"/>
              </w:rPr>
            </w:pPr>
            <w:r w:rsidRPr="00BE00C7">
              <w:rPr>
                <w:rFonts w:cs="Arial"/>
                <w:b w:val="0"/>
                <w:lang w:eastAsia="en-NZ"/>
              </w:rPr>
              <w:t>There is another registered nurse who is familiar with the organisation and can fulfil the clinical role in the event of the manager’s absence. This arrangement has worked successfully in the past when the manager has been on leave, or away attending educational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quality and risk management system. Policies and procedures are purchased from an external provider, with updates sent as changes occur in the sector and/or legislation. The manager and/or administrator amend policies and procedures to ensure they are relevant to the rest home. Obsolete policies are removed from circulation and archived. The administrator is responsible for document control. Policies are accessible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quality data is gathered and discussed during the health and safety meetings. Meeting minutes sampled included discussion regarding hazards, maintenance, complaints, infection prevention and control, internal audits, satisfaction surveys and adverse events. There is an internal audit schedule. Internal audits cover the scope of the organisation. There is evidence that corrective actions are addressed as required. Health and safety meeting meetings are signed by staff who were unable to attend. Staff meeting minutes were also sampled and confirmed ongoing discussions regarding the residents and systems. Resident satisfaction surveys confirmed general satisfaction and resident meeting minutes included discussions regarding any day to day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Organisational risks are documented and monitored accordingly. The COVID -19 pandemic is identified as a major risk to the organisation, with efficient strategies in place to minimise the risk. Financial risk is also identified. The provider has a chartered account who completes accounts annually. All financial decisions are approved by the manager and there are systems in place to avoid fraud. Work instructions regarding financial management are documented. There is evidence of current and appropriate insurances, including business continuity. Discussions regarding long term planning and risks related to human resources and capacity are included in the strategic business plan. There is a health and safety system which is documented and implemented in line with current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events are discussed at health and safety meetings. This includes a full discussion regarding the number and type of incidents, plus the follow up corrective actions. For example, there were three minor medication errors in April 2021 which resulted in all staff completing a new medication competency. Falls are the most common event, with one current resident who falls often (refer standard 1.3.3 for details.). All incidents are collated onto a monthly summary sheet in order the identify trends. There have been no serious events which require essential notifications to external authorities. The requirements of essential notifications are documented in the relevant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incident forms were sampled. Records confirmed that the appropriate immediate first aid was provided, including 24 hour observations following unwitnessed falls, and contact with family where required. The manager also provided details regarding how open disclosure is practiced, for example if a resident is administered an incorrect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interviewed confirmed that they are notified following an event if they have chosen to be. Some family members confirmed that they expect to be notified for serious events only (SIO). Where relevant, this was documented on the incident form.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and procedures are documented and in line with current legislation. Staff files sampled include the required documentation. For example position descriptions, employment agreements, police checks and validation of qualifications. A number of health care assistants have some qualifications in health and wellbeing (refer standard 1.1.8). </w:t>
            </w:r>
          </w:p>
          <w:p w:rsidR="00EB7645" w:rsidRPr="00BE00C7" w:rsidP="00BE00C7">
            <w:pPr>
              <w:pStyle w:val="OutcomeDescription"/>
              <w:spacing w:before="120" w:after="120"/>
              <w:rPr>
                <w:rFonts w:cs="Arial"/>
                <w:b w:val="0"/>
                <w:lang w:eastAsia="en-NZ"/>
              </w:rPr>
            </w:pPr>
            <w:r w:rsidRPr="00BE00C7">
              <w:rPr>
                <w:rFonts w:cs="Arial"/>
                <w:b w:val="0"/>
                <w:lang w:eastAsia="en-NZ"/>
              </w:rPr>
              <w:t>All staff receive an orientation on commencement. The orientation includes the essential components of service delivery. New staff are buddied up with a senior health care assistance until they are confident and competent. Orientation records were sighted in staff files sampled. A newly employed staff member confirmed that the orientation process was well delivered and comprehensive.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includes all the required topics and is relevant to the sector. The provider uses a combination of on-line education and external providers. The required competencies are conducted. This includes medication competencies, hand washing and manual handling. Staff interviewed confirmed that they have access to sufficient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an annual performance appraisal and there is evidence that any learning deficits, or personal employment goals are discussed and followed up by the manager. This was previously identified as an area requiring improvement during the 2018 certification audit and has since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staffing rational which was confirmed when sampling current and previous, rosters. The manager develops the roster. Skills, acuity and experience are taken into consideration. The roster confirmed that there are sufficient staff on shift at all times, with short shifts available during the busy times of the day. The manager is onsite daily and available on call. The roster is amended when short staffed, with currently employed staff filling any unplanned absences. At the time of the audit, the provider was one staff member down, so shifts had been temporality adjusted to ensure safe staffing levels were covered.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records management policy and procedure complies with records management legislation. Residents’ records are held both electronically and paper-based. The owner/manager has protected access to the interRAI assessment tool. The visiting GPs and allied health providers also have access to residents’ records, and these were integrated.</w:t>
            </w:r>
          </w:p>
          <w:p w:rsidR="00EB7645" w:rsidRPr="00BE00C7" w:rsidP="00BE00C7">
            <w:pPr>
              <w:pStyle w:val="OutcomeDescription"/>
              <w:spacing w:before="120" w:after="120"/>
              <w:rPr>
                <w:rFonts w:cs="Arial"/>
                <w:b w:val="0"/>
                <w:lang w:eastAsia="en-NZ"/>
              </w:rPr>
            </w:pPr>
            <w:r w:rsidRPr="00BE00C7">
              <w:rPr>
                <w:rFonts w:cs="Arial"/>
                <w:b w:val="0"/>
                <w:lang w:eastAsia="en-NZ"/>
              </w:rPr>
              <w:t>All hard copies are kept securely in the locked cupboards and not publicly accessible or observable. Hard copy archived records are stored safely and securely on-site. There is an effective system for retrieving both hard copies and electronically stored residents’ records.</w:t>
            </w:r>
          </w:p>
          <w:p w:rsidR="00EB7645" w:rsidRPr="00BE00C7" w:rsidP="00BE00C7">
            <w:pPr>
              <w:pStyle w:val="OutcomeDescription"/>
              <w:spacing w:before="120" w:after="120"/>
              <w:rPr>
                <w:rFonts w:cs="Arial"/>
                <w:b w:val="0"/>
                <w:lang w:eastAsia="en-NZ"/>
              </w:rPr>
            </w:pPr>
            <w:r w:rsidRPr="00BE00C7">
              <w:rPr>
                <w:rFonts w:cs="Arial"/>
                <w:b w:val="0"/>
                <w:lang w:eastAsia="en-NZ"/>
              </w:rPr>
              <w:t>All records sampled were legible, included the time and date, and the designation of the writer. Progress notes were documented for each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to service policy includes all the required aspects for the management of enquiries and entry. The welcome pack contains all the information about entry to the service. Assessments and entry screening processes are documented and communicated to the residents, family/whānau of choice where appropriate, local communities, and referral agencies. Authorisation forms from the Needs Assessment and Service Coordination team (NASC) confirming the level of care were sighted in files sampled.</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are conducted within the required time frames and signed on entry. The admission agreement clearly outlines services provided as part of the entry agreement. Relatives and residents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were involved in all exits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is implemented to ensure that residents receive medicines in a secure and timely manner. Medication charts sampled complied with legislation, protocols, and safe practice guidelines. Medication reconciliation is conducted by the owner/manager when the resident is transferred back from the hospital or any other external appointments. The organisation uses a paper-based medication management system.  All medications were reviewed every three months and as required by the attending GPs. Allergies were indicated, and photos current for easy identification.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Medication training was conducted by the pharmacist to staff and all were verified as proficient. The health care assistant was observed administering medication following the eight rights of medication administration. Records of fridge temperature monitoring were sighted. Medications were stored safely and securely in the locked cupboards.</w:t>
            </w:r>
          </w:p>
          <w:p w:rsidR="00EB7645" w:rsidRPr="00BE00C7" w:rsidP="00BE00C7">
            <w:pPr>
              <w:pStyle w:val="OutcomeDescription"/>
              <w:spacing w:before="120" w:after="120"/>
              <w:rPr>
                <w:rFonts w:cs="Arial"/>
                <w:b w:val="0"/>
                <w:lang w:eastAsia="en-NZ"/>
              </w:rPr>
            </w:pPr>
            <w:r w:rsidRPr="00BE00C7">
              <w:rPr>
                <w:rFonts w:cs="Arial"/>
                <w:b w:val="0"/>
                <w:lang w:eastAsia="en-NZ"/>
              </w:rPr>
              <w:t>During visual checks on the audit days, the controlled drug register was found to be current and correct. Weekly and six-monthly stock takes were conducted. There were no residents self-administering medication at the time of the audit. There is a policy and procedure for self-administration of medication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on-site and served in the respective dining area that is next to the kitchen. The menu was reviewed by a dietitian in November 2020. The kitchen staff have current food handling certificates. There is a current food control plan in place. Diets are modified as required and the cook confirmed awareness of the dietary needs of the residents. The residents have a nutritional profile developed on admission which identifies dietary requirements, likes, and dislikes. The resident’s weight is monitored regularly and supplements are provided to residents with identified weight loss issues. Snacks and drinks are available for residents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Labels and dates are on all containers and records of temperature monitoring of food, fridges, and freezers are maintained. Regular cleaning is undertaken and all services comply with current legislation and guidelines. The residents and family/whanau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owner/manager reported that all consumers who were declined entry are recorded on the pre-inquiry form and when a resident is declined relatives are informed of the reason for this and made aware of other options or alternative services available. The reasons for declining entry are but not limited to; the wrong level of care, challenging behavioural issues, and when there is no vacant bed. The consumer is referred back to the referral agency to ensure that the resident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were completed within the required time frames on admission while care plans and interRAI were completed within three weeks according to policy. Assessments and care plans sampled were detailed and included input from the family/whānau and other health team members as appropriate. The owner/manager continues to utilise standardised risk assessment tools on admission. In interviews, residents and relatives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reviewed were resident focussed, integrated, and provided continuity of service delivery. The assessed information is used to generate long-term care plans and short-term care plans for any acute needs. All goals developed were specific and measurable. There were detailed interventions to address the desired goals/outcomes identified during the assessment process. This included triggered and non-triggered interRAI assessment outcomes. All care plans sampled included input from the multidisciplinary team. The residents and relatives interviewed confirmed care delivery and support are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short-term care plans and long-term care plans are sufficient to address the assessed needs and desired goals/outcomes. Significant changes were reported in a timely manner and prescribed orders carried out satisfactorily as confirmed by GP interview. Progress notes were completed on every shift. Monthly observations were completed, and these were up to date. Adequate clinical supplies were observed, and the staff confirmed they have access to the supplies and products they needed. The clinical supplies included the following but not limited to personal protective equipment, wound care products, and other mobility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are meaningful to the residents' needs and abilities. The activities coordinator runs the programme from Monday to Friday assisted by a volunteer every Wednesday. The activities programme covers the physical, social, recreational, emotional, and cultural needs of the residents. Social background and assessment are completed on admission. The activities coordinator reported that they modify activities based on the residents’ responses and interests and also according to the capability and cognitive abilities of the residents. Activities included individual and group activities, such as pet therapy, ladies and men’s outings, scenic drives, exercises, board games, baking, quoits, childhood reminiscing, drumming, and balls.</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to be participating in meaningful activities on the audit days. Residents were observed to be going offsite with family/friends, with several community organisations providing activities at the service. There are planned activities and community connections that are suitable for the residents. The residents and relatives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long-term care plans, interRAI assessments, and activity plans were evaluated at least six monthly and updated when there were any changes. Relatives, residents, and staff reported that they are involved in the care planning process. During these evaluations, residents are assessed on their progress in meeting all identified goals and relevant responses to documented interventions. Short-term care plans were developed when needed and signed and closed out when the short-term problem had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utilises a standard referral form when referring residents to other service providers. The GP confirmed that processes are in place to ensure that all referrals are followed up accordingly. The resident and family are kept informed of the referrals made by the service. All referrals are facilitated by the owner/manager or GP. Evidence of previous referrals to the local DHB and other allied health specialists were sighted in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regarding the management of waste and hazardous substances. All domestic waste is removed according to local council requirements.  Chemical safety sheets are accessible to staff. Staff receive training and education to ensure safe and appropriate handling of waste and hazardous substances. There is provision and availability of personal protective equipment (PPE), appropriate to the scope of services provided. Protective clothing and equipment was observed to be in use during the audit. There has been no adverse events regarding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safe and fit for purpose. There is a current building warrant of fitness (BWOF) which expires in November 2021.  There have been no changes to the facility since the last audit. The facility is accessible to those who have a disability. A planned maintenance schedule is implemented with any additional maintenance issues attended to. Indoor and outdoor space and seating arrangements provide for individual and group activities. All areas are easily accessible for residents who use mobility aids. Equipment relevant to care needs is available. An electrical testing and tagging programme is in place along with the routine calibration of medical equipment. There are safe external areas for residents and family to meet/use and these include paths, seating and shade. The hazard register is current, with processes to ensure hazards are monitored, isolated or removed. For example, the storage of mobility aids at the front entrance,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toilets/bathing facilities. The majority of bedrooms have a private toilet. Communal toilets are conveniently located close to common areas. Water temperatures are checked regularly, sampled records showed these were within a safe range. Appropriately secured and approved handrails are provided in the toilet/shower/bathing areas, and other equipment/accessories are made available to promote resident independence. Residents and family members report that there are sufficient toilets and showers, and that privacy is maintained. Hand sanitizer is readily available and accessible throughout the facility. One family member provided an example of their family member being moved to a bedroom which did not have a toilet as the resident was no longer able to use the toilet independently.  The process for moving the resident was respectful and considerate, with full choice given regarding the move.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double room, with all other bedrooms single occupancy. The provider received approval from the Ministry of Health in February 2021 to convert one of the larger bedrooms into a double room for a couple who both required rest home level care. This increased the approved occupancy from 16 to 17. There is adequate personal space provided in all bedrooms to allow residents and staff to move around within the room safely.  Residents interviewed all spoke favourably about their rooms. Rooms are personalized with furnishings, photos and other personal items. There is room to store mobility aids such as walking frames in the bedroom safely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large lounge and dining area are used for activities. There is also a small lounge for groups of residents to relax in. Residents and staff easily access all areas.  Residents can access areas for privacy, if required.  Furniture is appropriate to the setting and arranged in a manner which enables residents to mobilise freely. The rest home is a smaller facility with limited storage, however equipment, for example walking aids and hoists, are stored in a room which is not used much during the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designated cleaning staff. Health care assistants complete the laundry. Laundry is completed on site with covered laundry trolleys and bags in use for transport. Dirty laundry was observed to be kept separate from clean laundry. Residents and family members reported that laundry is well managed and returned to them in a timely manner. The cleaner has a locked cupboard to put chemicals in and keeps the cleaning trolley within their sight at all times. Chemicals are stored appropriately in labelled containers. Training on the use of cleaning and laundry products is provided. Cleaning and laundry processes are monitored through the use of internal audits, resident meetings and satisfaction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evacuation plan, dated 2005. There have been no changes to the building since the plan was issued.  An evacuation policy on emergency and security situations is in place.  This includes a memorandum of understanding with two other facilities in the area to support each other in the event of an emergency. A fire drill takes place every six months with all staff having completed training.  The orientation programme includes emergency and security training.  Staff confirmed their awareness of emergency procedures. There is always at least one staff member on duty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required fire equipment is checked within required timeframes by an external contractor. There are adequate supplies in the event of a civil defence emergency including sufficient food and water to meet the Ministry of Civil Defence and Emergency Management recommendations for the area, blankets, and a gas BBQ.  Emergency lighting is checked regularly.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ensure the facility is secure and safe for the residents and staff. Since the beginning of the COVID-19 pandemic, the front door remains locked, with all visitors having to knock and sign in on entry. The call bell system is operational with bells in each room. Residents interviewed confirmed that staff attend to their call bell requests within a reasonable timeframe.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procedures to ensure the service is responsive to resident feedback in relation to heating and ventilation, wherever practicable.  Residents are provided with adequate natural light, safe ventilation, heating, and an environment that is maintained at a safe and comfortable temperature. The service has an external area available for residents if they smoke.  Family and residents confirmed that rooms are maintained at an appropriate temperature with panel heaters in bedrooms and communal areas. The provider has a smoke free policy with any staff who smoke being required to go off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provides an environment that minimises the risk of infection to residents, staff, and visitors by implementing an appropriate infection prevention and control programme. The owner/manager is the infection control coordinator (ICC) and has access to external specialist advice from the GPs and DHB infection control specialists when required. A documented job description for the ICC including roles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The programme has been reviewed using regular updates about Covid-19 and other resource information from the DHB regular training meetings with providers. During the DHB meetings various topics on COVID-19, PPE use, donning and doffing, infection prevention, and control are discussed. Staff is made aware of new infections through daily handovers on each shift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residents, staff, and visitors to use. There have been no outbreaks documented and infection control guidelines are adhered to. The staff interviewed demonstrated an understanding of the infection prevention and control programme. There was a pandemic outbreak plan in place. The COVID-19 outbreak management plan was in place and any latest information about COVID-19 is regularly updated in the service information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Infection control reports are discussed at the monthly staff meetings. The ICC has access to all relevant resident data to undertake surveillance, internal audits, and investigations, respectively. Hand washing competencies are routinely monitored.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practices. Staff were observed to comply with the infection control policies and procedures. Staff demonstrated knowledge of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ICC and other specialist consultants. A record of attendance is maintained and was sighted. The training education information pack is detailed and meets best practices and guidelines. The following education sessions have been provided; infection prevention and control (IPC) pandemic response, IPC outbreak management, use of PPE, wound management, and other online training. External contact resources include GPs,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instigated. Staff interviewed reported that they are informed of infection rates at staff meetings and through compiled reports. The GPs are informed within the required time frames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provider is committed to promoting a restraint free environment and to provide the staff with guidelines to enable them to prevent the need for restraint. Policies are in place on restraint, enablers and the management of challenging behaviours. There were no residents requiring the use of restraint or enablers on the days of audit. The definition of restraint and enabler are clearly stated in the organisation’s restraint policy.  All staff receive education on restraint minimisation and challenging behaviour.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Roseanne Retirement Limited</w:t>
    </w:r>
    <w:bookmarkEnd w:id="58"/>
    <w:r>
      <w:rPr>
        <w:rFonts w:cs="Arial"/>
        <w:sz w:val="16"/>
        <w:szCs w:val="20"/>
      </w:rPr>
      <w:tab/>
      <w:t xml:space="preserve">Date of Audit: </w:t>
    </w:r>
    <w:bookmarkStart w:id="59" w:name="AuditStartDate1"/>
    <w:r>
      <w:rPr>
        <w:rFonts w:cs="Arial"/>
        <w:sz w:val="16"/>
        <w:szCs w:val="20"/>
      </w:rPr>
      <w:t>2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