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Fergusson Rest Home &amp;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Fergusson Rest Home &amp;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March 2021</w:t>
      </w:r>
      <w:bookmarkEnd w:id="7"/>
      <w:r w:rsidRPr="009418D4">
        <w:rPr>
          <w:rFonts w:cs="Arial"/>
        </w:rPr>
        <w:tab/>
        <w:t xml:space="preserve">End date: </w:t>
      </w:r>
      <w:bookmarkStart w:id="8" w:name="AuditEndDate"/>
      <w:r w:rsidR="00A4268A">
        <w:rPr>
          <w:rFonts w:cs="Arial"/>
        </w:rPr>
        <w:t>17 March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Fergusson Rest Home &amp; Hospital provides rest home, hospital and secure dementia levels of care for up to 112 residents.  On the day of the audit there were 110 residents.  </w:t>
      </w:r>
    </w:p>
    <w:p w:rsidRPr="00A4268A">
      <w:pPr>
        <w:spacing w:before="240" w:line="276" w:lineRule="auto"/>
        <w:rPr>
          <w:rFonts w:eastAsia="Calibri"/>
        </w:rPr>
      </w:pPr>
      <w:r w:rsidRPr="00A4268A">
        <w:rPr>
          <w:rFonts w:eastAsia="Calibri"/>
        </w:rPr>
        <w:t>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staff and general practitioner.</w:t>
      </w:r>
    </w:p>
    <w:p w:rsidRPr="00A4268A">
      <w:pPr>
        <w:spacing w:before="240" w:line="276" w:lineRule="auto"/>
        <w:rPr>
          <w:rFonts w:eastAsia="Calibri"/>
        </w:rPr>
      </w:pPr>
      <w:r w:rsidRPr="00A4268A">
        <w:rPr>
          <w:rFonts w:eastAsia="Calibri"/>
        </w:rPr>
        <w:t xml:space="preserve">The general manager is a registered nurse. She has been in her role since September 2020.  The general manager is appropriately qualified and experienced and is supported by a team of experienced staff.  Feedback from residents and families was very positive about the care and services provided.  </w:t>
      </w:r>
    </w:p>
    <w:p w:rsidRPr="00A4268A">
      <w:pPr>
        <w:spacing w:before="240" w:line="276" w:lineRule="auto"/>
        <w:rPr>
          <w:rFonts w:eastAsia="Calibri"/>
        </w:rPr>
      </w:pPr>
      <w:r w:rsidRPr="00A4268A">
        <w:rPr>
          <w:rFonts w:eastAsia="Calibri"/>
        </w:rPr>
        <w:t>Nine of ten shortfalls identified as part of the previous audit have been addressed.  These were around: meeting minutes, corrective actions, agency staff induction, staff training, timeframes for assessment and care plans, progress notes, care plan interventions, implementation of care, and self-medication management.  There continues to be an improvement required around water stored for civil defence.</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has a culture of open disclosure.  Families are regularly updated of residents’ condition including any acute changes or incidents.  Complaints processes are implemented and managed in line with the Code.  Residents and family interviewed verified ongoing involvement with the community.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Services are planned and coordinated and are appropriate to the needs of the residents.  Quality and risk management processes are established.  Business goals are documented for the service.  The risk management programme includes a risk management plan, incident and accident reporting, and health and safety processes.  Quality systems include regular monitoring of quality and risk data and an internal auditing programme.</w:t>
      </w:r>
    </w:p>
    <w:p w:rsidRPr="00A4268A">
      <w:pPr>
        <w:spacing w:before="240" w:line="276" w:lineRule="auto"/>
        <w:rPr>
          <w:rFonts w:eastAsia="Calibri"/>
        </w:rPr>
      </w:pPr>
      <w:r w:rsidRPr="00A4268A">
        <w:rPr>
          <w:rFonts w:eastAsia="Calibri"/>
        </w:rPr>
        <w:t xml:space="preserve">Human resources are managed in accordance with good employment practice.  An orientation programme and a regular staff education and training programme are in place.  There are adequate numbers of staff on duty to ensure residents are safe.  The residents’ files are appropriate to the service type.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Registered nurses’ complete initial assessments including interRAI assessments, care plans and evaluations within the required timeframes.  Care plans are integrated and include the involvement of allied health professionals.  Residents and relatives interviewed confirmed they were involved in the care planning and review process.</w:t>
      </w:r>
    </w:p>
    <w:p w:rsidRPr="00A4268A" w:rsidP="00621629">
      <w:pPr>
        <w:spacing w:before="240" w:line="276" w:lineRule="auto"/>
        <w:rPr>
          <w:rFonts w:eastAsia="Calibri"/>
        </w:rPr>
      </w:pPr>
      <w:r w:rsidRPr="00A4268A">
        <w:rPr>
          <w:rFonts w:eastAsia="Calibri"/>
        </w:rPr>
        <w:t xml:space="preserve">Each resident has access to an individual and group activities programme.  The group programme is varied and interesting and includes outings, entertainers and community interactions.    </w:t>
      </w:r>
    </w:p>
    <w:p w:rsidRPr="00A4268A" w:rsidP="00621629">
      <w:pPr>
        <w:spacing w:before="240" w:line="276" w:lineRule="auto"/>
        <w:rPr>
          <w:rFonts w:eastAsia="Calibri"/>
        </w:rPr>
      </w:pPr>
      <w:r w:rsidRPr="00A4268A">
        <w:rPr>
          <w:rFonts w:eastAsia="Calibri"/>
        </w:rPr>
        <w:t xml:space="preserve">Medicines are stored and managed appropriately, in line with legislation and guidelines.  Registered nurses and senior caregivers administering medications have completed annual competencies.  The general practitioners review the medication charts at least three-monthly. </w:t>
      </w:r>
    </w:p>
    <w:p w:rsidRPr="00A4268A" w:rsidP="00621629">
      <w:pPr>
        <w:spacing w:before="240" w:line="276" w:lineRule="auto"/>
        <w:rPr>
          <w:rFonts w:eastAsia="Calibri"/>
        </w:rPr>
      </w:pPr>
      <w:r w:rsidRPr="00A4268A">
        <w:rPr>
          <w:rFonts w:eastAsia="Calibri"/>
        </w:rPr>
        <w:t>Meals are prepared and cooked on site under the direction of a Food Service Leader.  The menus are provided by the national Bupa office.  The menu is varied and provides meal options.  Individual and special dietary needs are catered for.  Nutritious snacks are available 24-hours a day.   Residents interviewed were very complimentary about the food service.</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C8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medium or high risk and/or unattained and of low risk.</w:t>
            </w:r>
          </w:p>
        </w:tc>
      </w:tr>
    </w:tbl>
    <w:p w:rsidR="00460D43">
      <w:pPr>
        <w:spacing w:before="240" w:line="276" w:lineRule="auto"/>
        <w:rPr>
          <w:rFonts w:eastAsia="Calibri"/>
        </w:rPr>
      </w:pPr>
      <w:bookmarkStart w:id="23" w:name="SafeAndAppropriateEnvironment"/>
      <w:r w:rsidRPr="00A4268A">
        <w:rPr>
          <w:rFonts w:eastAsia="Calibri"/>
        </w:rPr>
        <w:t>The building holds a current warrant of fitness.  External areas are safe and well maintained. Systems and supplies are in place for essential, emergency and security services.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to guide staff in the use of an approved enabler and/or restraint.  Policy is aimed at using restraint only as a last resort.  Staff receive regular education and training on restraint minimisation.  Eight residents were using a restraint and four residents were using an enabler at the time of the audit.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Surveillance data is undertaken.  Infection incidents are collected and analysed for trends and the information used to identify opportunities for improvements.</w:t>
      </w:r>
    </w:p>
    <w:p w:rsidRPr="00A4268A">
      <w:pPr>
        <w:spacing w:before="240" w:line="276" w:lineRule="auto"/>
        <w:rPr>
          <w:rFonts w:eastAsia="Calibri"/>
        </w:rPr>
      </w:pPr>
      <w:r w:rsidRPr="00A4268A">
        <w:rPr>
          <w:rFonts w:eastAsia="Calibri"/>
        </w:rPr>
        <w:t>The infection control programme and its content and detail are appropriate for the size, complexity and degree of risk associated with the service.  Surveillance data is undertaken.  Infection incidents are collected and analysed for trends and the information used to identify opportunities for improvements.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46</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38"/>
        <w:gridCol w:w="1280"/>
        <w:gridCol w:w="104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families during the resident’s entry to the service.  Complaints forms are located at the entrance to the facility.  The complaints process is linked to advocacy services.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record of complaints received is maintained by the general manager.  Twelve complaints were lodged in 2020 and two for 2021 (year-to-date).  Three complaints were reviewed for 2020 and two for 2021.  Complaints have been managed in accordance with health and disability commissioner guidelines.  All complaints reviewed were successfully dealt with and resolved.  Staff are kept informed, as evidenced in the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two rest home and two hospital level residents and families/whānau confirmed that they are provided with information on the complaints process and remarked that any concerns or issues they had were addressed promptly.  The resident survey results (December 2020) identified that residents and family were overall satisfied with the service (77%).</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open disclosure policy is based on the principle that residents and their families have a right to know what has happened to them and to be fully informed at all times.  The care staff interviewed (eight caregivers, two registered nurses, one cook, one activity person and the maintenance person) understood about open disclosure and providing appropriate information when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Families interviewed; (two with a family member at hospital level and two with a family member on the secure dementia unit) confirmed they are kept informed of the resident’s status, including any events adversely affecting the resident.  Eight accident/incident forms reviewed reflected documented evidence of families being informed following an adverse event.  </w:t>
            </w:r>
          </w:p>
          <w:p w:rsidR="00EB7645" w:rsidRPr="00BE00C7" w:rsidP="00BE00C7">
            <w:pPr>
              <w:pStyle w:val="OutcomeDescription"/>
              <w:spacing w:before="120" w:after="120"/>
              <w:rPr>
                <w:rFonts w:cs="Arial"/>
                <w:b w:val="0"/>
                <w:lang w:eastAsia="en-NZ"/>
              </w:rPr>
            </w:pPr>
            <w:r w:rsidRPr="00BE00C7">
              <w:rPr>
                <w:rFonts w:cs="Arial"/>
                <w:b w:val="0"/>
                <w:lang w:eastAsia="en-NZ"/>
              </w:rPr>
              <w:t>An interpreter service is available and accessible if required through the district health board.  Staff and family are used in the first instance.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Fergusson Rest Home &amp; Hospital provides rest home, hospital and secure dementia levels of care for up to 112 residents.  On the day of the audit there were 110 residents. There are 10 dual-purpose beds.  On the day of audit, there were 53 rest home residents and 41 hospital residents.  There were 16 dementia care residents.  Hospital residents included three younger persons under the younger person disabled contract and one respite, there were two residents funded through the long-term support – chronic health conditions (LTS-CHC) contract, one at rest home level and one hospital.  There was also one rest home resident funded through an alternative contract.  All other residents were under the age-related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philosophy, mission, vision and values are in place.  An annual business plan (2020) was implemented, with evidence of goals being reviewed.  The general manager had documented the 2021 business plan, including annual goals of reducing slips, trips and falls.  </w:t>
            </w:r>
          </w:p>
          <w:p w:rsidR="00EB7645" w:rsidRPr="00BE00C7" w:rsidP="00BE00C7">
            <w:pPr>
              <w:pStyle w:val="OutcomeDescription"/>
              <w:spacing w:before="120" w:after="120"/>
              <w:rPr>
                <w:rFonts w:cs="Arial"/>
                <w:b w:val="0"/>
                <w:lang w:eastAsia="en-NZ"/>
              </w:rPr>
            </w:pPr>
            <w:r w:rsidRPr="00BE00C7">
              <w:rPr>
                <w:rFonts w:cs="Arial"/>
                <w:b w:val="0"/>
                <w:lang w:eastAsia="en-NZ"/>
              </w:rPr>
              <w:t>The general manager (RN) who has been in her role since September 2020 and has previous experience managing aged care services.  She maintains a minimum of eight hours of professional development per year relating to the management of an aged care facility.  The service is currently recruiting for a clinical manager.  The general manager is supported by three registered nurse unit coordinators.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Fergusson rest home and hospital continues to implement the Bupa quality and risk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implemented to provide assurance that the service is meeting accepted good practice and adhering to relevant standards - including those standards relating to the Health and Disability Services (Safety) Act 2001.  All new policies are communicated via the Bupa BMS monthly communication.  The BMS is included as part of monthly meetings.  Staff confirmed they are made aware of any new/reviewed policies.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to two monthly quality meeting minutes and monthly health and safety meetings (apart from Covid disruptions) sighted, evidenced staff discussion around accident/incident data, health and safety, infection control, audit outcomes, concerns and survey feedback.  The service collates accident/incident and infection control data.  Monthly comparisons include detailed trend analysis and graphs. </w:t>
            </w:r>
          </w:p>
          <w:p w:rsidR="00EB7645" w:rsidRPr="00BE00C7" w:rsidP="00BE00C7">
            <w:pPr>
              <w:pStyle w:val="OutcomeDescription"/>
              <w:spacing w:before="120" w:after="120"/>
              <w:rPr>
                <w:rFonts w:cs="Arial"/>
                <w:b w:val="0"/>
                <w:lang w:eastAsia="en-NZ"/>
              </w:rPr>
            </w:pPr>
            <w:r w:rsidRPr="00BE00C7">
              <w:rPr>
                <w:rFonts w:cs="Arial"/>
                <w:b w:val="0"/>
                <w:lang w:eastAsia="en-NZ"/>
              </w:rPr>
              <w:t>The staff interviewed were aware of quality data results, trends and corrective actions.  There are also two weekly clinical review meetings.  These meetings document in-depth review of individual resident issues, complaints, new admissions, wounds, unintended weight loss, and wound care (as examples).  The reporting of quality information, including incidents and accidents, restraint and infection control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There is a robust internal audit programme that covers all aspects of the service and aligns with the requirements of the Health and Disability Services (Safety) Act 2001.  A summary of internal audit outcomes is provided to the quality meetings for discussion.  Corrective actions are developed, implemented and signed off.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health and safety and risk management system in place including policies to guide practice.  The manager is responsible for health and safety education, internal audits and non-clinical accident/incident investigation.  There is a current hazard register.  Staff confirmed they are kept informed on health and safety matters at meetings. </w:t>
            </w:r>
          </w:p>
          <w:p w:rsidR="00EB7645" w:rsidRPr="00BE00C7" w:rsidP="00BE00C7">
            <w:pPr>
              <w:pStyle w:val="OutcomeDescription"/>
              <w:spacing w:before="120" w:after="120"/>
              <w:rPr>
                <w:rFonts w:cs="Arial"/>
                <w:b w:val="0"/>
                <w:lang w:eastAsia="en-NZ"/>
              </w:rPr>
            </w:pPr>
            <w:r w:rsidRPr="00BE00C7">
              <w:rPr>
                <w:rFonts w:cs="Arial"/>
                <w:b w:val="0"/>
                <w:lang w:eastAsia="en-NZ"/>
              </w:rPr>
              <w:t>Falls management strategies include assessments after falls and individualised strategies.  The service has detailed emergency plans covering all types of emergency situations and staff receive ongoing training around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Individual reports are completed for each incident/accident on the electronic system with immediate action noted and any follow-up action(s) required.  Incident/accident data is linked to the service’s quality and risk management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accident/incident forms were reviewed (witnessed falls and unwitnessed falls).  Each event involving a resident reflected a clinical assessment and follow-up by an RN.  Neurological observations are conducted for suspected head injuries and unwitnessed falls.  </w:t>
            </w:r>
          </w:p>
          <w:p w:rsidR="00EB7645" w:rsidRPr="00BE00C7" w:rsidP="00BE00C7">
            <w:pPr>
              <w:pStyle w:val="OutcomeDescription"/>
              <w:spacing w:before="120" w:after="120"/>
              <w:rPr>
                <w:rFonts w:cs="Arial"/>
                <w:b w:val="0"/>
                <w:lang w:eastAsia="en-NZ"/>
              </w:rPr>
            </w:pPr>
            <w:r w:rsidRPr="00BE00C7">
              <w:rPr>
                <w:rFonts w:cs="Arial"/>
                <w:b w:val="0"/>
                <w:lang w:eastAsia="en-NZ"/>
              </w:rPr>
              <w:t>The facility manager was aware of statutory responsibilities in regard to essential notification.  Section 31 reports were evidenced for: two pressure injuries, one absconding resident, one missing resident and one power outage.  Notification was also evidenced for a gastro outbreak (December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are in place, including recruitment, selection, orientation and staff training and development.  Seven staff files were randomly selected for review (four registered nurses including two-unit coordinators and three caregivers).  Files included evidence of the recruitment and induction process, including reference checking, signed employment contracts, job descriptions and completed orientation programmes.  The orientation programme provides new staff with relevant information for safe work practice that is specific to the position.  Staff interviewed stated that new staff were adequately orientated to the service.</w:t>
            </w:r>
          </w:p>
          <w:p w:rsidR="00EB7645" w:rsidRPr="00BE00C7" w:rsidP="00BE00C7">
            <w:pPr>
              <w:pStyle w:val="OutcomeDescription"/>
              <w:spacing w:before="120" w:after="120"/>
              <w:rPr>
                <w:rFonts w:cs="Arial"/>
                <w:b w:val="0"/>
                <w:lang w:eastAsia="en-NZ"/>
              </w:rPr>
            </w:pPr>
            <w:r w:rsidRPr="00BE00C7">
              <w:rPr>
                <w:rFonts w:cs="Arial"/>
                <w:b w:val="0"/>
                <w:lang w:eastAsia="en-NZ"/>
              </w:rPr>
              <w:t>The village general manager was able to discuss the orientation for agency nurses and the process of ensuring the agency staff provided safe care.  This included working with the agency and having the same agency staff as much as possible.  Three agency staff  induction forms picked at random included a completed orientation.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The Bupa education and training programme is provided for staff.  Education has been presented as training days, as well as repeated sessions.  Toolbox talks (ad hoc and additional training sessions) have ensured a high attendance at training by staff.  Competencies are completed specific to worker type and include (but are not limited to) medication, resident care and handwashing.  A register of current practising certificates for health professionals is maintained.  Five of thirteen RNs have completed their interRAI training.  A first aid trained staff member is always available 24/7, including on outings.</w:t>
            </w:r>
          </w:p>
          <w:p w:rsidR="00EB7645" w:rsidRPr="00BE00C7" w:rsidP="00BE00C7">
            <w:pPr>
              <w:pStyle w:val="OutcomeDescription"/>
              <w:spacing w:before="120" w:after="120"/>
              <w:rPr>
                <w:rFonts w:cs="Arial"/>
                <w:b w:val="0"/>
                <w:lang w:eastAsia="en-NZ"/>
              </w:rPr>
            </w:pPr>
            <w:r w:rsidRPr="00BE00C7">
              <w:rPr>
                <w:rFonts w:cs="Arial"/>
                <w:b w:val="0"/>
                <w:lang w:eastAsia="en-NZ"/>
              </w:rPr>
              <w:t>Eight permanent staff work in the dementia unit, five have achieved the level four-unit standards, and three are in progress.  The three staff in progress have not worked at the unit for 18 months at the time of audit.</w:t>
            </w:r>
          </w:p>
          <w:p w:rsidR="00EB7645" w:rsidRPr="00BE00C7" w:rsidP="00BE00C7">
            <w:pPr>
              <w:pStyle w:val="OutcomeDescription"/>
              <w:spacing w:before="120" w:after="120"/>
              <w:rPr>
                <w:rFonts w:cs="Arial"/>
                <w:b w:val="0"/>
                <w:lang w:eastAsia="en-NZ"/>
              </w:rPr>
            </w:pPr>
            <w:r w:rsidRPr="00BE00C7">
              <w:rPr>
                <w:rFonts w:cs="Arial"/>
                <w:b w:val="0"/>
                <w:lang w:eastAsia="en-NZ"/>
              </w:rPr>
              <w:t>The implementation of the Bupa training schedule to ensure that all staff attend at least eight hours training annually and ensuring timely appraisals for all staff is an improvement from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staffing levels meet contractual requirements.  The general manager (RN) is on duty Monday to Friday and on-call after hours.  Sufficient numbers of caregivers’ support RNs.  Interviews with the residents and relatives confirmed staffing overall was satisfactory and increased to manage resident acuity and occupancy.  Staffing levels are as follows: </w:t>
            </w:r>
          </w:p>
          <w:p w:rsidR="00EB7645" w:rsidRPr="00BE00C7" w:rsidP="00BE00C7">
            <w:pPr>
              <w:pStyle w:val="OutcomeDescription"/>
              <w:spacing w:before="120" w:after="120"/>
              <w:rPr>
                <w:rFonts w:cs="Arial"/>
                <w:b w:val="0"/>
                <w:lang w:eastAsia="en-NZ"/>
              </w:rPr>
            </w:pPr>
            <w:r w:rsidRPr="00BE00C7">
              <w:rPr>
                <w:rFonts w:cs="Arial"/>
                <w:b w:val="0"/>
                <w:lang w:eastAsia="en-NZ"/>
              </w:rPr>
              <w:t>Dementia unit (16 residents across 18 beds): morning shift - one RN/unit coordinator, two caregivers (one full and one short shift); afternoon shift – three caregivers (two full shift and one short shift (including one senior caregiver) and one caregiver on nights.</w:t>
            </w:r>
          </w:p>
          <w:p w:rsidR="00EB7645" w:rsidRPr="00BE00C7" w:rsidP="00BE00C7">
            <w:pPr>
              <w:pStyle w:val="OutcomeDescription"/>
              <w:spacing w:before="120" w:after="120"/>
              <w:rPr>
                <w:rFonts w:cs="Arial"/>
                <w:b w:val="0"/>
                <w:lang w:eastAsia="en-NZ"/>
              </w:rPr>
            </w:pPr>
            <w:r w:rsidRPr="00BE00C7">
              <w:rPr>
                <w:rFonts w:cs="Arial"/>
                <w:b w:val="0"/>
                <w:lang w:eastAsia="en-NZ"/>
              </w:rPr>
              <w:t>Rest home (three hospital level and 50 rest home): morning shift - one RN/unit coordinator, four caregivers on full shift and two short shifts; afternoon shift – two caregivers on full afternoon and two until 9.30 pm (including a senior caregiver).  One caregiver and one RN on nights.</w:t>
            </w:r>
          </w:p>
          <w:p w:rsidR="00EB7645" w:rsidRPr="00BE00C7" w:rsidP="00BE00C7">
            <w:pPr>
              <w:pStyle w:val="OutcomeDescription"/>
              <w:spacing w:before="120" w:after="120"/>
              <w:rPr>
                <w:rFonts w:cs="Arial"/>
                <w:b w:val="0"/>
                <w:lang w:eastAsia="en-NZ"/>
              </w:rPr>
            </w:pPr>
            <w:r w:rsidRPr="00BE00C7">
              <w:rPr>
                <w:rFonts w:cs="Arial"/>
                <w:b w:val="0"/>
                <w:lang w:eastAsia="en-NZ"/>
              </w:rPr>
              <w:t>Hospital (41 hospital level residents); morning shift - one RN and a unit coordinator (RN), one RN afternoon and one for the night shift; four full morning shift caregivers and four short-shifts; afternoon six caregivers (two 3 pm - 11 pm, two 3 pm to 10 pm and two 4.30 pm to 8.30 pm).  There are two caregivers and one RN at night.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staff are allocated to the rest home, hospital and dementia care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designated food services staff, cleaning and laundry staff seven days a week.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There was one rest home resident self-administering on the day of audit with documented competency on file. This is an improvement on the previous audit.  There are three medication rooms on site, all have secured key-pad access.  There are two medication trolleys used in the rest home and hospital communities.  Medication fridges and treatment rooms had daily temperature checks recorded and were within normal ranges.  All medications were securely and appropriately stored.  Registered nurses or senior caregivers who have passed their competency, administer medications.  Medication competencies are updated annually and include syringe drivers, sub cut fluids, blood sugars and oxygen/nebulisers.  There is a signed agreement with the pharmacy.  Medications are checked on arrival and any pharmacy errors recorded and fed back to the supplying pharmacy.  There are no standing orders.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an electronic medication management system.  Fourteen medication charts were sampled (four dementia, six hospital and four rest home).  All charts had photo identification and allergy status documented.  All medication sheets evidenced three monthly reviews by the GP.  Prescribed medication is signed electronically after being administered as witnessed on the day of the audit.  Effectiveness of PRN medication administered were documented in the electronic prescription.  Controlled drugs and registers align with guidelines.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manager (who commenced December 2020) oversees the procurement of the food and management of the kitchen.  The service is supported by one full time chef and two relieving cooks.  All food services staff have attended food safety training.  There are food service manuals and a range of policies and procedures in place to guide staff.  There is a well-equipped clean kitchen, and all meals are cooked on site.  The hospital and dementia food is delivered in scan boxes and rest home meals are served from a bain marie.  There is a separate dining room in the dementia unit.  On the day of audit, meals were observed to be hot and well presented.  Audits are implemented to monitor performance.  Kitchen chiller, fridge and freezer temperatures are monitored and documented daily; these were within safe limits.  Temperature of food being delivered to the kitchen and prior to serving are also recorded.  The service has a current food control plan which expires September 2021.  </w:t>
            </w:r>
          </w:p>
          <w:p w:rsidR="00EB7645" w:rsidRPr="00BE00C7" w:rsidP="00BE00C7">
            <w:pPr>
              <w:pStyle w:val="OutcomeDescription"/>
              <w:spacing w:before="120" w:after="120"/>
              <w:rPr>
                <w:rFonts w:cs="Arial"/>
                <w:b w:val="0"/>
                <w:lang w:eastAsia="en-NZ"/>
              </w:rPr>
            </w:pPr>
            <w:r w:rsidRPr="00BE00C7">
              <w:rPr>
                <w:rFonts w:cs="Arial"/>
                <w:b w:val="0"/>
                <w:lang w:eastAsia="en-NZ"/>
              </w:rPr>
              <w:t>The residents have a nutritional profile developed on admission which identifies dietary requirements, likes and dislikes.  This is reviewed six-monthly as part of the care plan review.  Changes to residents’ dietary needs have been communicated to the kitchen by the registered nurse or unit coordinator.  Special diets were noted on the kitchen noticeboard which is able to be viewed only by kitchen staff.  A national summer/winter, four weekly rotating menu is in place.  There was evidence that there are additional nutritious snacks available over 24 hours.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manager attends resident meetings, and surveys provide feedback on the meals and food service.  Residents and relatives interviewed were happy with meals provided (they noted meals had improved since the current kitchen manager had commenced) and confirmed that alternative food choices were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Interventions were individualised and reflected the level of care and assistance required by caregivers.  Previous findings were addressed.  Wounds were documented separately with interventions listed also in the short or long-term care plans.  Signs and symptoms for the adverse effect of warfarin use were well documented and the resident file of a resident who identified as Māori was reviewed showing a detailed cultural plan and on interview the resident was very happy with the care received.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(RNs) and caregivers follow the care plan and report progress at each shift handover.  If external allied health requests or referrals are required, the unit coordinators’ initiate the referral (e.g., wound care specialist, dietitian, or mental health team).  Relatives interviewed stated that the clinical care is good and that they are involved in the care planning.  Interviews with unit coordinators, registered nurses and caregivers demonstrated understanding of the individualised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and RNs interviewed stated there is adequate equipment provided including continence and wound care supplies (sighted).  Specialist wound, and continence advice is available by referral.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18 wounds on the day of the audit: two skin tears in the dementia community (one resident), seven skin tears in the rest home (four residents).  The hospital community had; seven skin tears (six residents), and two unstageable pressure injuries (two residents).  </w:t>
            </w:r>
          </w:p>
          <w:p w:rsidR="00EB7645" w:rsidRPr="00BE00C7" w:rsidP="00BE00C7">
            <w:pPr>
              <w:pStyle w:val="OutcomeDescription"/>
              <w:spacing w:before="120" w:after="120"/>
              <w:rPr>
                <w:rFonts w:cs="Arial"/>
                <w:b w:val="0"/>
                <w:lang w:eastAsia="en-NZ"/>
              </w:rPr>
            </w:pPr>
            <w:r w:rsidRPr="00BE00C7">
              <w:rPr>
                <w:rFonts w:cs="Arial"/>
                <w:b w:val="0"/>
                <w:lang w:eastAsia="en-NZ"/>
              </w:rPr>
              <w:t>Wound assessment, wound plans and evaluation forms and photos were in place with a separate wound plan for each wound if a resident had more than one.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with pressure injuries had appropriate care documented and provided, including pressure relieving equipment and monitoring completed as instructed in the care plan.  Access to specialist advice and support is available as needed.  Care plans document allied health input.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evidence of turning charts, monthly (or more frequent) weight and vital sign monitoring, food and fluid charts and behaviour charts in place.  Unintentional weight loss has been discussed with the GP, and supplements were prescribed.  Weight charts include percentage of weight gained or lost.  </w:t>
            </w:r>
          </w:p>
          <w:p w:rsidR="00EB7645" w:rsidRPr="00BE00C7" w:rsidP="00BE00C7">
            <w:pPr>
              <w:pStyle w:val="OutcomeDescription"/>
              <w:spacing w:before="120" w:after="120"/>
              <w:rPr>
                <w:rFonts w:cs="Arial"/>
                <w:b w:val="0"/>
                <w:lang w:eastAsia="en-NZ"/>
              </w:rPr>
            </w:pPr>
            <w:r w:rsidRPr="00BE00C7">
              <w:rPr>
                <w:rFonts w:cs="Arial"/>
                <w:b w:val="0"/>
                <w:lang w:eastAsia="en-NZ"/>
              </w:rPr>
              <w:t>Monitoring of residents, and wound care documentation are an improvement from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activities coordinator who commenced (along with another team member) late 2020.  The activities coordinator has postgraduate training relevant to the position and is commencing diversional therapy training along with the other new team member.  The four activities staff coordinate and implement an activities programme for each unit seven days a week.  Two volunteers have recently commenced.  On the day of audit, residents in all areas were observed being actively involved with a variety of activities.  The monthly themed activities programme template is designed to cater for a range of cognitive, intellectual and physical needs.  The monthly planner and weekly planner, which is displayed on noticeboards, is delivered to residents’ rooms each week.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an assessment and map of life completed over the first few weeks after admission, obtaining a complete history of past and present interests, career, family, etc.  Attendance/participation in activities is recorded for each resident.  Resident files reviewed identified that the individual socialising and activity plan is reviewed at least six-monthly as part of the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in the dementia unit include (but are not limited to) newspaper reading, arts, crafts, music, weekly church services, pet therapy and board games.  Van outings were in recess whilst a replacement driver was appointed.  One-on-one activities include walks in the garden, hand massages and reminiscing.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 home and hospital activities are similar to those offered in the dementia unit, but also include entertainment and physical games.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Community links are maintained with visiting church groups and outings to places of interest and picnics will recommence when a van driver is appointed.  </w:t>
            </w:r>
          </w:p>
          <w:p w:rsidR="00EB7645" w:rsidRPr="00BE00C7" w:rsidP="00BE00C7">
            <w:pPr>
              <w:pStyle w:val="OutcomeDescription"/>
              <w:spacing w:before="120" w:after="120"/>
              <w:rPr>
                <w:rFonts w:cs="Arial"/>
                <w:b w:val="0"/>
                <w:lang w:eastAsia="en-NZ"/>
              </w:rPr>
            </w:pPr>
            <w:r w:rsidRPr="00BE00C7">
              <w:rPr>
                <w:rFonts w:cs="Arial"/>
                <w:b w:val="0"/>
                <w:lang w:eastAsia="en-NZ"/>
              </w:rPr>
              <w:t>The team receive suggestions and themes from Bupa national.  On audit the theme was St Patricks Day, which residents appeared enthusiastic about.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receives feedback and suggestions for the programme through surveys, three monthly relative and resident meetings in all units.  Residents and relatives interviewed spoke positively about the activities programme and team members.  The service encourages younger residents to be as involved in facility activities as they wish.  Younger residents are encouraged to maintain their links to the community.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files reviewed demonstrated that all interRAI assessments and care plans reviewed were evaluated at least six-monthly or when changes to care occurs.  Short-term care plans for short-term needs were evaluated and either resolved or added to the long-term care plan as an ongoing problem.  All changes in health status are documented and followed up.  The multidisciplinary review involves the RN, GP input, resident/family and unit coordinator.  The files reviewed reflected evidence of relatives being notified of changes to care plans and reviews if not able to attend.  In the files sampled care plans have been read and signed by the resident or EPOA/family.  There is at least a three-monthly review by the medical practitioner.  The residents and relatives interviewed confirmed they are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which expires on 19 November 2021.  There is a 52-week planned maintenance programme in place.  Electrical equipment has been tested and tagged.  Hot water temperature is monitored weekly in resident areas and at hot water cylinders.  </w:t>
            </w:r>
          </w:p>
          <w:p w:rsidR="00EB7645" w:rsidRPr="00BE00C7" w:rsidP="00BE00C7">
            <w:pPr>
              <w:pStyle w:val="OutcomeDescription"/>
              <w:spacing w:before="120" w:after="120"/>
              <w:rPr>
                <w:rFonts w:cs="Arial"/>
                <w:b w:val="0"/>
                <w:lang w:eastAsia="en-NZ"/>
              </w:rPr>
            </w:pPr>
            <w:r w:rsidRPr="00BE00C7">
              <w:rPr>
                <w:rFonts w:cs="Arial"/>
                <w:b w:val="0"/>
                <w:lang w:eastAsia="en-NZ"/>
              </w:rPr>
              <w:t>The corridors throughout the facility are wide, and handrails are available to promote safe mobility.  Residents were observed moving freely around the areas with mobility aids where required.  There are areas to wander inside and outside with secure garden areas off the Lavender (dementia) unit.  Residents are encouraged to bring in their own possessions and are able to adorn their room as desired.  There are quiet, low stimulus areas that provide privacy when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stated there is sufficient equipment available to staff in all areas that is calibrated.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management plans in place to ensure health, civil defence and other emergencies are included.  Six monthly fire evacuation attendance documentation was sighted.  Fire training and security situations are part of orientation of new staff and are ongoing as part of the annual training plan.  There are adequate supplies in the event of a civil defence emergency including food, backup battery power and gas barbeque, but insufficient supplies of stored water (as per Civil defence guidelines) is a continued shortfall from the previous audit.  Emergency lighting is in place.  A minimum of one person trained in first aid and cardiopulmonary resuscitation (CPR) is available at all times.  </w:t>
            </w:r>
          </w:p>
          <w:p w:rsidR="00EB7645" w:rsidRPr="00BE00C7" w:rsidP="00BE00C7">
            <w:pPr>
              <w:pStyle w:val="OutcomeDescription"/>
              <w:spacing w:before="120" w:after="120"/>
              <w:rPr>
                <w:rFonts w:cs="Arial"/>
                <w:b w:val="0"/>
                <w:lang w:eastAsia="en-NZ"/>
              </w:rPr>
            </w:pPr>
            <w:r w:rsidRPr="00BE00C7">
              <w:rPr>
                <w:rFonts w:cs="Arial"/>
                <w:b w:val="0"/>
                <w:lang w:eastAsia="en-NZ"/>
              </w:rPr>
              <w:t>There are call bells in the residents’ rooms, toilets and showers and lounge/dining room areas.  Residents were observed to have their call bells in close proximity.  The facility is secure after hours with security lighting and security patrols at night.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coordinator (RN) uses the information obtained through surveillance to determine infection control activities, trends,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infection reports are completed for all infections on the incident management programme (RiskMan).  Infections are included on a monthly register and a monthly report is collated by the infection control coordinator with a corrective action plan.  Infection control data and corrective actions are reported at the quality and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The infection control programme is linked with the Bupa quality management programme.  The results are subsequently included in the care home manager’s report on quality indicators.  Internal infection control audits and surveillance of infection control data assists the service in evaluating compliance with infection control practises and identifying infection control needs.  There is close liaison with the resident’s GP that advise and provide feedback/information to the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gastro outbreak during December 2020 was well managed and reported to the DHB and Public Health.   </w:t>
            </w:r>
          </w:p>
          <w:p w:rsidR="00EB7645" w:rsidRPr="00BE00C7" w:rsidP="00BE00C7">
            <w:pPr>
              <w:pStyle w:val="OutcomeDescription"/>
              <w:spacing w:before="120" w:after="120"/>
              <w:rPr>
                <w:rFonts w:cs="Arial"/>
                <w:b w:val="0"/>
                <w:lang w:eastAsia="en-NZ"/>
              </w:rPr>
            </w:pPr>
            <w:r w:rsidRPr="00BE00C7">
              <w:rPr>
                <w:rFonts w:cs="Arial"/>
                <w:b w:val="0"/>
                <w:lang w:eastAsia="en-NZ"/>
              </w:rPr>
              <w:t>A Bupa companywide Covid strategy and pandemic plan was available to staff on site with education and associated resources relating to hand hygiene, PPE and donning/doffing procedures.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include definitions of restraint and enabler that are congruent with the definition in NZS 8134.0.  Restraint is an agenda item at quality meetings. Documented systems are in place to ensure the use of restraint is actively minimised.  There were eight hospital level residents using restraints and four residents using an enabler.</w:t>
            </w:r>
          </w:p>
          <w:p w:rsidR="00EB7645" w:rsidRPr="00BE00C7" w:rsidP="00BE00C7">
            <w:pPr>
              <w:pStyle w:val="OutcomeDescription"/>
              <w:spacing w:before="120" w:after="120"/>
              <w:rPr>
                <w:rFonts w:cs="Arial"/>
                <w:b w:val="0"/>
                <w:lang w:eastAsia="en-NZ"/>
              </w:rPr>
            </w:pPr>
            <w:r w:rsidRPr="00BE00C7">
              <w:rPr>
                <w:rFonts w:cs="Arial"/>
                <w:b w:val="0"/>
                <w:lang w:eastAsia="en-NZ"/>
              </w:rPr>
              <w:t>Education and competencies on restraint minimisation are scheduled annually.</w:t>
            </w:r>
          </w:p>
          <w:p w:rsidR="00EB7645" w:rsidRPr="00BE00C7" w:rsidP="00BE00C7">
            <w:pPr>
              <w:pStyle w:val="OutcomeDescription"/>
              <w:spacing w:before="120" w:after="120"/>
              <w:rPr>
                <w:rFonts w:cs="Arial"/>
                <w:b w:val="0"/>
                <w:lang w:eastAsia="en-NZ"/>
              </w:rPr>
            </w:pPr>
            <w:r w:rsidRPr="00BE00C7">
              <w:rPr>
                <w:rFonts w:cs="Arial"/>
                <w:b w:val="0"/>
                <w:lang w:eastAsia="en-NZ"/>
              </w:rPr>
              <w:t>Two resident files reviewed where a restraint was being used (one with bedrails and one with a lap belt) and one resident with an enabler (bedrails), all reflected an assessment and consent process had been completed with regular reviews.  Residents using a restraint are monitored for safety.</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07"/>
        <w:gridCol w:w="1280"/>
        <w:gridCol w:w="5065"/>
        <w:gridCol w:w="3257"/>
        <w:gridCol w:w="202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1.4.7.4</w:t>
            </w:r>
          </w:p>
          <w:p w:rsidR="00EB7645" w:rsidRPr="00BE00C7" w:rsidP="00BE00C7">
            <w:pPr>
              <w:pStyle w:val="OutcomeDescription"/>
              <w:spacing w:before="120" w:after="120"/>
              <w:rPr>
                <w:rFonts w:cs="Arial"/>
                <w:b w:val="0"/>
                <w:lang w:eastAsia="en-NZ"/>
              </w:rPr>
            </w:pPr>
            <w:r w:rsidRPr="00BE00C7">
              <w:rPr>
                <w:rFonts w:cs="Arial"/>
                <w:b w:val="0"/>
                <w:lang w:eastAsia="en-NZ"/>
              </w:rPr>
              <w:t>Alternative energy and utility sources are available in the event of the main supplies failing.</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at least three days of food stored, civil defence kits that are checked regularly, and has provided staff training.  The water storage continues to not comply with DHB standard for water in the Hutt region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does not have sufficient water stored to comply with the civil defence guidelines of 20 litres per person per day for seven days.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water stored for emergencies complies with the civil defence requirement.</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Fergusson Rest Home &amp; Hospital</w:t>
    </w:r>
    <w:bookmarkEnd w:id="58"/>
    <w:r>
      <w:rPr>
        <w:rFonts w:cs="Arial"/>
        <w:sz w:val="16"/>
        <w:szCs w:val="20"/>
      </w:rPr>
      <w:tab/>
      <w:t xml:space="preserve">Date of Audit: </w:t>
    </w:r>
    <w:bookmarkStart w:id="59" w:name="AuditStartDate1"/>
    <w:r>
      <w:rPr>
        <w:rFonts w:cs="Arial"/>
        <w:sz w:val="16"/>
        <w:szCs w:val="20"/>
      </w:rPr>
      <w:t>16 March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