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Metlifecare Somervale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Somervale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May 2021</w:t>
      </w:r>
      <w:bookmarkEnd w:id="7"/>
      <w:r w:rsidRPr="009418D4">
        <w:rPr>
          <w:rFonts w:cs="Arial"/>
        </w:rPr>
        <w:tab/>
        <w:t xml:space="preserve">End date: </w:t>
      </w:r>
      <w:bookmarkStart w:id="8" w:name="AuditEndDate"/>
      <w:r w:rsidR="00A4268A">
        <w:rPr>
          <w:rFonts w:cs="Arial"/>
        </w:rPr>
        <w:t>12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Somervale provides rest home and hospital level care for up to 69 residents. The service is operated by Metlifecare Limited and managed by a nurse manager who reports to the village manager. The only changes since the previous audit have been the appointment of a new nurse manager 14 months ago and a new village manager eight weeks ago.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including the regional clinical manager and telephone interview with a general practitioner.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This audit identified four areas for improvement. These relate to overdue interRAI assessments, updating care plans following a change in a resident’s condition, expired medicines and food temperature control monitoring. A previous rating of continuous improvement in quality and risk management is ongoing.</w:t>
      </w:r>
    </w:p>
    <w:p w:rsidRPr="00A4268A">
      <w:pPr>
        <w:spacing w:before="240" w:line="276" w:lineRule="auto"/>
        <w:rPr>
          <w:rFonts w:eastAsia="Calibri"/>
        </w:rPr>
      </w:pPr>
      <w:r w:rsidRPr="00A4268A">
        <w:rPr>
          <w:rFonts w:eastAsia="Calibri"/>
        </w:rPr>
        <w:t>The Ministry of Health requested feedback on the implementation of recommendations made by the Office of the Health and Disability Commissioner following a 2017 complaint. Appropriate and effective actions have been implemented to address these areas and are described throughout this report.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Implemented systems and the environment is conducive to effective communication. The complaints management system meets the requirements of the Code and is known by staff, residents and their families. Residents and family members interviewed reported that the manager immediately responds to and addresses any concerns they raise.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organisations five year strategic plan and annual business and quality risk management plans include values and a mission statement, the direction and scope of services plus annual quality indicators and goals for Somervale Care home. </w:t>
      </w:r>
    </w:p>
    <w:p w:rsidRPr="00A4268A">
      <w:pPr>
        <w:spacing w:before="240" w:line="276" w:lineRule="auto"/>
        <w:rPr>
          <w:rFonts w:eastAsia="Calibri"/>
        </w:rPr>
      </w:pPr>
      <w:r w:rsidRPr="00A4268A">
        <w:rPr>
          <w:rFonts w:eastAsia="Calibri"/>
        </w:rPr>
        <w:t xml:space="preserve">Experienced and suitably qualified people manage the services being delivered. </w:t>
      </w:r>
    </w:p>
    <w:p w:rsidRPr="00A4268A">
      <w:pPr>
        <w:spacing w:before="240" w:line="276" w:lineRule="auto"/>
        <w:rPr>
          <w:rFonts w:eastAsia="Calibri"/>
        </w:rPr>
      </w:pPr>
      <w:r w:rsidRPr="00A4268A">
        <w:rPr>
          <w:rFonts w:eastAsia="Calibri"/>
        </w:rPr>
        <w:t xml:space="preserve">The quality and risk management system includes monitoring all areas of service delivery and benchmarking quality data. Quality improvement data is collected, analysed for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w:t>
      </w:r>
    </w:p>
    <w:p w:rsidRPr="00A4268A">
      <w:pPr>
        <w:spacing w:before="240" w:line="276" w:lineRule="auto"/>
        <w:rPr>
          <w:rFonts w:eastAsia="Calibri"/>
        </w:rPr>
      </w:pPr>
      <w:r w:rsidRPr="00A4268A">
        <w:rPr>
          <w:rFonts w:eastAsia="Calibri"/>
        </w:rPr>
        <w:t xml:space="preserve">The appointment, orientation and management of staff is based on good employment practices.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entry to service pathway is clearly outlined in the policies and procedures sighted. Needs Assessment Service Coordination (NASC) team assess residents prior to entry to confirm their level of care. Assessments and care plans are completed and evaluated by the registered nurses (RNs) at the service. Short term care plans are developed for acute problems, these were evaluated and closed out in a timely manner.</w:t>
      </w:r>
    </w:p>
    <w:p w:rsidRPr="00A4268A" w:rsidP="00621629">
      <w:pPr>
        <w:spacing w:before="240" w:line="276" w:lineRule="auto"/>
        <w:rPr>
          <w:rFonts w:eastAsia="Calibri"/>
        </w:rPr>
      </w:pPr>
      <w:r w:rsidRPr="00A4268A">
        <w:rPr>
          <w:rFonts w:eastAsia="Calibri"/>
        </w:rPr>
        <w:t>Activities plans are completed by the diversional therapist (DT) and an activities coordinator (AC) five days a week while weekends are for family visits and church services. Planned activities are appropriate to the residents’ assessed needs and abilities. In interviews, residents and family/whānau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medications. Staff involved in medication administration are assessed as competent. Three monthly reviews are completed by the general practitioner (GP) and nurse practitioner (NP).</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structure of the buildings since the previous audit. A current building warrant of fitness is on display.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At the time of audit, the facility was restraint and enabler free. There is a comprehensive assessment, approval and monitoring process identified in policy should restraint be required.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current and appropriate to the size and scope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Feedback forms used for making complaints or identifying concerns are located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17 complaints had been received since the new manager took up the role in 2019. Two of these received in the weeks before audit were still open and all others had an auditable record that showed actions taken, through to an agreed resolution had been completed within acceptable timeframes. All complaints are registered electronically. Those sampled contained extensive notes about investigations, communications between parties and where required the actions taken for improvements. The nurse manager is responsible for complaints management and follow up. The regional clinical manger and upward management reports are kept advised of the progress on all complaints. Findings from complaints are discussed at the quality and risk forums. All staff interviewed confirmed a sound understanding of the complaints process and what actions are required. There was evidence that each of the recommendations made from the Health and Disability Commissioners office following a complaint investigation into the standard of care had been implemented prior to release of the report findings.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The new nurse manager has implemented various new methods for enhancing communication for families and between staff and external health providers. Examples of this are the ‘checklist for transfer of care ‘ for discharge from public hospital to be completed by the receiving RN. An easy to understand information sheet for families about death and the dying process is provided appropriately. A comprehensive palliative care resource folder for RNs and all care has also been compiled that contains the Te Ara Whakapiri toolkit and other guidelines specific to the expected standards of care at Somervale.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due to all residents able to speak English. Staff are also able to provide interpretation as and when needed and family members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 term objectives and the associated operational plans. A sample of quarterly reviews against the business plan and monthly data reports which go to the board of directors showed adequate information to monitor performance is reported including occupancy, resident information,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nurse manager (NM) who is a registered nurse with current annual practicing certificate and other relevant qualifications. This person took up the role 14 months ago and has a background in health. A senior registered nurse oversees all resident care. Both are supported by a regional clinical manager, who was on site for this audit. Responsibilities and accountabilities are defined in their job descriptions and employment agreements. The NM reports directly to the village manager who was appointed eight weeks ago.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confirmed knowledge of the sector, regulatory and reporting requirements and maintains currency through attendance at Metlifecare conferences and study days and Age Care Association conferences.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Somervale Care home holds contracts with the Bay of Plenty District Health Board (BOPDHB) for respite, complex medical conditions, palliative care, transitional acute care, rest home and short term rehabilitation. </w:t>
            </w:r>
          </w:p>
          <w:p w:rsidR="00EB7645" w:rsidRPr="00BE00C7" w:rsidP="00BE00C7">
            <w:pPr>
              <w:pStyle w:val="OutcomeDescription"/>
              <w:spacing w:before="120" w:after="120"/>
              <w:rPr>
                <w:rFonts w:cs="Arial"/>
                <w:b w:val="0"/>
                <w:lang w:eastAsia="en-NZ"/>
              </w:rPr>
            </w:pPr>
            <w:r w:rsidRPr="00BE00C7">
              <w:rPr>
                <w:rFonts w:cs="Arial"/>
                <w:b w:val="0"/>
                <w:lang w:eastAsia="en-NZ"/>
              </w:rPr>
              <w:t>Sixty-eight residents were receiving services under the Age Related Residential Care contract (16 rest home and 52 hospital level care). Two hospital residents were receiving services under the Transitional Acute Care Services (TACS) contract, and one hospital level care resident was on respite.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satisfaction survey, monitoring of outcomes, clinical incidents including infections, falls, wounds and pressure injuries. Quality data is benchmarked against other Metlifecare sites and against previously collected data. The organisation is still benchmarking Metlifecare sites against five other New Zealand age care providers. Infection control data is benchmarked by a contracted off-site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Somervale Care home has initiated a number of quality improvements to augment communication and care processes. There are other larger quality improvement projects being rolled out in the area. The previous rating of continuous improvement in 1.2.3.6 is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organisational clinical governance meetings, quality and risk team meetings, clinical management team meetings and staff meetings. Staff reported their involvement in quality and risk management activities through being members of specific committees such as health and safety, audit activities and the implementation of corrective actions.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results (August 2020) showed Somervale had gained improvements from the previous two years results in meals/dining experiences up to 95%. Ratings for the care team and activities were 100%.</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Policies and procedures are organisational wide and managed at head office. The policies are relevant and reflected good practice related to medical (non-acute) care.</w:t>
            </w:r>
          </w:p>
          <w:p w:rsidR="00EB7645" w:rsidRPr="00BE00C7" w:rsidP="00BE00C7">
            <w:pPr>
              <w:pStyle w:val="OutcomeDescription"/>
              <w:spacing w:before="120" w:after="120"/>
              <w:rPr>
                <w:rFonts w:cs="Arial"/>
                <w:b w:val="0"/>
                <w:lang w:eastAsia="en-NZ"/>
              </w:rPr>
            </w:pPr>
            <w:r w:rsidRPr="00BE00C7">
              <w:rPr>
                <w:rFonts w:cs="Arial"/>
                <w:b w:val="0"/>
                <w:lang w:eastAsia="en-NZ"/>
              </w:rPr>
              <w:t>The NM described the processes for the identification, monitoring, review and reporting of risks and development of mitigation strategies. The manager is familiar with the Health and Safety at Work Act (2015) and has implemented requirements. The health and safety committee review all hazards and the hazard register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This information is then recorded electronically. A sample of incidents reviewed showed all actions fully completed, incidents were investigated, action plans developed and actions followed-up in a timely manner. Adverse event data is collated, analysed and reported across all levels of the organisation. Recorded incidents are sent to the nurse manager daily for review of all incidents and accidents that occur. The service uses the data from incidents and accidents, including service shortfalls to make improvements where possible.</w:t>
            </w:r>
          </w:p>
          <w:p w:rsidR="00EB7645" w:rsidRPr="00BE00C7" w:rsidP="00BE00C7">
            <w:pPr>
              <w:pStyle w:val="OutcomeDescription"/>
              <w:spacing w:before="120" w:after="120"/>
              <w:rPr>
                <w:rFonts w:cs="Arial"/>
                <w:b w:val="0"/>
                <w:lang w:eastAsia="en-NZ"/>
              </w:rPr>
            </w:pPr>
            <w:r w:rsidRPr="00BE00C7">
              <w:rPr>
                <w:rFonts w:cs="Arial"/>
                <w:b w:val="0"/>
                <w:lang w:eastAsia="en-NZ"/>
              </w:rPr>
              <w:t>The NM described essential notification reporting requirements, including for pressure injuries. They advised there has been two notifications made to the Ministry of Health, and the DHB using section 31 reporting since the previous audit. One in September 2020 related to a resident’s motor vehicle accident and a resident’s friction pressure injury in April 2021. There have been no police investigations, coroner’s inquests, issues based audits or public health notifications made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 and thereafter an annual appraisal is completed. Staff training and education is relevant to medical (non-acute) care.</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Mandatory training requirements are presented six monthly and staff attendance is monitored to ensure all staff complete the training annually. Care staff have either completed or commenced a New Zealand Qualification Authority education programme to meet the requirements of the provider’s agreement with the DHB. Of the 44 care givers employed (11 are casually employed) 27 have completed level 4 of the National Certificate in Health and Wellness, four are at level 3, four are at level 2 and one is at level 1. Eight staff have either not started the qualification or are already long term experienced carers. Three of the 15 RNs are trained and maintaining their annual competency requirements to undertake interRAI assessments. One more RN has completed the training and concluding competency testing to achieve this.</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interRAI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15 RN’s have current first aid certificates, and have passed competency testing in the use of syringe drivers used for pain management with palliative care residents. There was documented evidence that all RNs and a number of care staff have also completed training in Te Ara Whakapiri (Ministry of Health guidelines for care in the last days of life).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expressed confidence in their ability to effectively identify, attend to and manage care for people who are dying and their family members. There had been 10 deaths in the facility in the month preceding this audit, and all had been managed without incident.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Ten carers and three RNs are rostered on each morning and afternoon shift, plus the senior RN and nurse manager on site Monday to Friday. Two RNs and three carer’s area allocated each night shift. Rosters clearly showed that staffing levels were increased to meet the interRAI acuity level report findings.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All RNs are maintaining current first aid certificates so there is always at least one staff member on duty with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works five days per week, two activities staff work 80 hours per week and reception staff 40 hours per week. There is 100 hours of dedicated laundry and cleaning staff each week. Maintenance staff (shared with the village) are available five days per week and on-call, and there are sufficient staff allocated to provide food services. Since the previous audit care staff have been relieved of some tasks by an external contract that provides staff to clean up after every meal service in each of the dining areas/ or ‘pods’. Each pod has a kitchen, dining area and lounge for around 12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for ‘as required’ medications, allergies are clearly indicated, and photos were current. Administration records are maintained, and drug incident forms are completed in the event of any drug errors. The medication and associated documentation are in place. Medication reconciliation is conducted by the RNs when a resident is transferred back to the service from hospital or any external appointments. The RNs check medicines against the prescription, and these were noted in the medication electronic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There is a process for returning unwanted medicines to the pharmacy in a timely manner. Medications were stored in a safe and secure way in the trollies and locked storerooms. Medication competencies were completed annually for all staff administering medication. The senior registered nurse reported that some medication related audits were conducted.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medicines at the time of the audit. Self-administration medication policy and procedure is in place when required. Outcomes of pro re nata (PRN) were documented in the electronic management system. Residents who had swallowing issues had appropriate assessments and safe processes to manage associated risks.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the management of pro re nata (PRN)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run by the kitchen manager and assisted by the cooks and kitchen hands. The kitchen service complies with current food safety legislation and guidelines. There is an approved food control plan for the service which expires 26 July 2021. Meal services are prepared on site and served in the respective dining areas. The menu was reviewed by the registered dietitian in April 2021. The kitchen staff have current food handling certificates. Diets are modified as required and the cook confirmed awareness of dietary needs of the residents. The residents have a nutritional profile developed on admission which identifies dietary requirements, likes, and dislikes. All alternatives are catered for. The residents’ weight was monitored regularly, and supplements provided to residents with identified weight loss issues. Snacks and drinks are available for residents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food temperature monitoring is occurring and records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were completed however these were not consistently reviewed within the required timeframes. Assessments and care plans included input from the family/whānau, residents, and other health team members as appropriate. Additional assessments were completed according to required needs (e.g., behavioural, cognition, wound, nutritional, continence, skin and falls, pressure risk assessments). The RNs utilises standardised risk assessment tools on admission and when required uses the identification, situation, background, assessment, and recommendation tool (ISBAR) reporting changes in residents’ status. All this is reported to the GP or NP and management team in a timely manner. The NP confirmed in interview conducted that comprehensive assessments of residents were completed by the medical and nursing team and further recommendations initiated. The senior registered nurse also reiterated that RNs either text, phone or email the GP or NP for further guidance if they have concerns with management of certain conditions. Further referrals suggested were followed up. Evidence of assessments and evaluations completed were sighted in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 physiotherapist visits the service twice a week, completes assessments and evaluations on admission, ongoing monitoring of residents’ mobility issues, and conducting post fall assessments, respectively. There are policies and procedures in place to manage residents with the following conditions cerebrovascular accidents, swallowing difficulties, agitation, and behavioural issues. Staff were further trained to manage residents needing end of life care and in the use of anticipatory medicines for comfort. Evidence of documented assessments of residents presenting with various issues such as swallowing difficulties, impaired mobility and behavioural issues of concerns and outcomes identified were sighted. Regular reviews were conducted and specialist help sought in a timely manner. Wound specialist, speech language therapist, dietitians and mental health team were consulted to assess residents requiring their input. In interviews conducted, family/whānau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used for short-term needs. Behaviour management plans were implemented as required for some resident either assessed as rest home or hospital level of care with behavioural issues. Family/whānau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 speech language therapist, district nurses, dietitian, NP, and GP.</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residents’ care plans reflect all assessed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that interventions were adequate to address the identified needs of residents. Outcomes from interRAI assessments were not consistently documented (Refer 1.3.5.2). Significant changes were reported to the GP or NP in a timely manner and prescribed orders carried out. Relevant interventions were documented for residents with behavioural issues, impaired skin integrity and swallowing difficulties. The senior registered nurse reported that the GP and NP medical input were sought within appropriate timeframes, that medical orders were followed, and care was resident centred. This was confirmed by the NP during interview conducted. Care staff confirmed that care was provided as outlined in the care plans. A range of equipment and resources are available, suited to the levels of care provided and in accordance with the residents’ needs. RNs have received appropriate training and passed competency testing in the use of syringe drivers used for pain management with palliative care residents. Food and fluid charts are initiated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meaningful to the residents’ needs and abilities. The activities are based on assessment and reflect the residents’ social, cultural, spiritual, physical, cognitive needs/abilities, past hobbies, interests, and enjoyments. Residents’ files sampled reflect their preferred activities and were evaluated regularly or as when necessary. The DT and activities coordinator develop a monthly activity planner which covers activities for the rest home and hospital level of care residents. These were posted on the notice boards to remind residents of upcoming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activities information was completed in consultation with the family during the admission process. Activities included group, individual, celebration of residents’ birthdays, van outings, board games, indoor bowls, pampering and hairdressing, regular walks, music, newspaper reading, national and events of the world. Residents’ meetings are conducted monthly where various issues are discussed.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day of the audit. There are planned activities and community connections that are suitable for the residents. Regular outings were completed for residents interested in going out except under COVID-19 alert level three and four. Residents and family/whānau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 term care plans, interRAI assessments and activity plans were evaluated at least six monthly and updated when there were any changes (Refer 1.3.4.2 and 1.3.5.2). Resident care plans were individualised. Relatives, residents, and staff input is sought in all aspects of care. The evaluations record how the resident is progressing towards meeting their goals and responses to interventions. Resident records sampled evidenced that there were monitoring of; fluid balance charts (intake and output), pain assessment, neurological observations post falls, and evaluation of a range of requested laboratory tests where clinically indicated. Short term care plans were developed when needed,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had been no changes to the buildings since the previous audit in 2019. A current building warrant of fitness (expiry date 20 September 2021) is publicly displayed.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entered into the infection register. Monthly reports are completed and sent to the nurse manager and then regional clinical manager and clinical director for benchmarking. The regional clinical manager reported that an infection control record is completed when a resident has an infection. Benchmarking of infection is completed against other sister facilities through an external infection control specialist service. Staff interviewed reported that they are informed of infection rates at handovers, monthly staff meetings and through compiled reports. The GP and NP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r w:rsidRPr="00BE00C7">
              <w:rPr>
                <w:rFonts w:cs="Arial"/>
                <w:b w:val="0"/>
                <w:lang w:eastAsia="en-NZ"/>
              </w:rPr>
              <w:t>Information and resources to support staff in managing COVID-19 was regularly updated. Visitor screening and residents’ temperature monitoring records depending on alert levels by the MOH were documented. There was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or enablers. The facility is succeeding in maintaining a restraint free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that a restraint or enablers is required, the set of policies and procedures meet the requirements of the restraint minimisation and safe practice standards and provide guidance on the safe use of both. The nurse manager who is the restraint coordinator provides support and oversight for enabler and restraint management.  This person demonstrated a sound understanding of their role and responsibilities and the organisation’s policies and procedures. The restraint coordinator confirmed that restraint would only be used as a last resort when all alternatives have been explored.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0"/>
        <w:gridCol w:w="1280"/>
        <w:gridCol w:w="6081"/>
        <w:gridCol w:w="1795"/>
        <w:gridCol w:w="14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and the nursing student were observed administering medicines following the required medication protocol guidelines and legislative requirements. The controlled drug register was current and correct. Recommended controlled drug stock takes were conducted. Monitoring of medicine fridge and room temperatures is conducted regularly and deviations from normal were reported and attended to promptly. The GP and NP complete three-monthly medication reviews.</w:t>
            </w:r>
          </w:p>
          <w:p w:rsidR="00EB7645" w:rsidRPr="00BE00C7" w:rsidP="00BE00C7">
            <w:pPr>
              <w:pStyle w:val="OutcomeDescription"/>
              <w:spacing w:before="120" w:after="120"/>
              <w:rPr>
                <w:rFonts w:cs="Arial"/>
                <w:b w:val="0"/>
                <w:lang w:eastAsia="en-NZ"/>
              </w:rPr>
            </w:pPr>
            <w:r w:rsidRPr="00BE00C7">
              <w:rPr>
                <w:rFonts w:cs="Arial"/>
                <w:b w:val="0"/>
                <w:lang w:eastAsia="en-NZ"/>
              </w:rPr>
              <w:t>There were expired PRN medicines in the medication trollies and medication 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Eleven rolls of PRN medications held in stock had expired.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medication management system meet the requirements of the standard.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Labels and dates were on all containers. Thermometer calibrations were completed every three months. Records of temperature monitoring of fridges and freezers are maintained, however, food serving temperatures were not being monitored as per the food control plan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Food temperature monitoring and recording is not occurring as required by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food temperature monitoring and recording is conducted.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are completed within three weeks, according to policy. InterRAI assessments were not completed within the aged related residential care contract (ARRC) required timeframes. The organisation had processes in place to manage completion of all overdue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Eleven resident interRAI assessments were not completed within ARRC required timeframes the overdue intervals ranges from 15 to 83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interRAI assessments within the required time 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and input from resident and/or family/whānau informs the care plan and assists in identifying the required support to meet residents’ goals and desired outcomes. The care plans sampled were resident focused and individualised, however residents care plans have not been updated to include a change in the resident’s condition for example, pressure injuries.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residents’ care plans reviewed did not have documentation of interRAI triggered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outcomes from interRAI assessments are consistently included in the residents’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Metlifecare Somervale</w:t>
    </w:r>
    <w:bookmarkEnd w:id="58"/>
    <w:r>
      <w:rPr>
        <w:rFonts w:cs="Arial"/>
        <w:sz w:val="16"/>
        <w:szCs w:val="20"/>
      </w:rPr>
      <w:tab/>
      <w:t xml:space="preserve">Date of Audit: </w:t>
    </w:r>
    <w:bookmarkStart w:id="59" w:name="AuditStartDate1"/>
    <w:r>
      <w:rPr>
        <w:rFonts w:cs="Arial"/>
        <w:sz w:val="16"/>
        <w:szCs w:val="20"/>
      </w:rPr>
      <w:t>12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