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Shalom Court Auckland Incorporated - Shalom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Shalom Court Auckland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Shalom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plans to decrease the total number of beds from 32 to 29 by decreasing the use of three apartments previously used for rest home level residents.  Rest home level residents currently reside in three of the apartments in the apartment block which is connected to the care facility by an airbridge.  This will reduce to two once residents move into the facility.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Shalom Court rest home provides rest home and hospital level of care for up to 29 residents.  On the day of the audit there were 25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 and interviews with residents, the resident advocate, staff, management, board members, and the general practitioner. </w:t>
      </w:r>
    </w:p>
    <w:p w:rsidRPr="00A4268A">
      <w:pPr>
        <w:spacing w:before="240" w:line="276" w:lineRule="auto"/>
        <w:rPr>
          <w:rFonts w:eastAsia="Calibri"/>
        </w:rPr>
      </w:pPr>
      <w:r w:rsidRPr="00A4268A">
        <w:rPr>
          <w:rFonts w:eastAsia="Calibri"/>
        </w:rPr>
        <w:t>Shalom Court is a not-for-profit organisation that is governed by a board of governance, and a separate Trust Board.  The service is managed by the executive officer (non-clinical) and has been in her role for two years and is supported by the clinical operations manager (registered nurse) and a team of registered nurses and healthcare assistants.  The residents and community visitors spoke highly of the service, including the provision of a supportive cultural and spiritual environment based on Jewish values and beliefs.</w:t>
      </w:r>
    </w:p>
    <w:p w:rsidRPr="00A4268A">
      <w:pPr>
        <w:spacing w:before="240" w:line="276" w:lineRule="auto"/>
        <w:rPr>
          <w:rFonts w:eastAsia="Calibri"/>
        </w:rPr>
      </w:pPr>
      <w:r w:rsidRPr="00A4268A">
        <w:rPr>
          <w:rFonts w:eastAsia="Calibri"/>
        </w:rPr>
        <w:t>The service was awarded a continued improvement rating around community involvement.</w:t>
      </w:r>
    </w:p>
    <w:p w:rsidRPr="00A4268A">
      <w:pPr>
        <w:spacing w:before="240" w:line="276" w:lineRule="auto"/>
        <w:rPr>
          <w:rFonts w:eastAsia="Calibri"/>
        </w:rPr>
      </w:pPr>
      <w:r w:rsidRPr="00A4268A">
        <w:rPr>
          <w:rFonts w:eastAsia="Calibri"/>
        </w:rPr>
        <w:t xml:space="preserve">Areas for improvement were identified around neurological observations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Shalom Court provides an environment that supports resident rights.  Staff demonstrated an understanding of residents' rights and obligations.  Residents receive services in a manner that considers their dignity, privacy and independence.  Written information regarding consumers’ rights is provided to residents and families.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Shalom Court has fully implemented its quality and risk management system.  Services are planned, coordinated, and are appropriate to the needs of the residents.  Quality goals are documented for the service.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Pr="00A4268A">
      <w:pPr>
        <w:spacing w:before="240" w:line="276" w:lineRule="auto"/>
        <w:rPr>
          <w:rFonts w:eastAsia="Calibri"/>
        </w:rPr>
      </w:pPr>
      <w:r w:rsidRPr="00A4268A">
        <w:rPr>
          <w:rFonts w:eastAsia="Calibri"/>
        </w:rPr>
        <w:t>Human resources are managed in accordance with good employment practice.  An orientation programme and regular staff education and training plans are documented.  The executive officer is supported by a clinical operations manager who is a registered nurse who is on site five days a week and is on call when not on site.  They are supported by a team of RNs.</w:t>
      </w:r>
    </w:p>
    <w:p w:rsidRPr="00A4268A">
      <w:pPr>
        <w:spacing w:before="240" w:line="276" w:lineRule="auto"/>
        <w:rPr>
          <w:rFonts w:eastAsia="Calibri"/>
        </w:rPr>
      </w:pPr>
      <w:r w:rsidRPr="00A4268A">
        <w:rPr>
          <w:rFonts w:eastAsia="Calibri"/>
        </w:rPr>
        <w:t xml:space="preserve">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External areas are safe and well maintained with shade and seating available. All the rooms are single rooms and each has it's own private en-suite.  Fixtures, fittings and flooring are appropriate and toilet/shower facilities are constructed for ease of cleaning.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receives training in restraint minimisation and challenging behaviour management.  On the day of audit, the service had two residents using restraint and one resident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was one outbreak in 2019.  This was well managed and appropriate authorities were notified.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7"/>
        <w:gridCol w:w="1280"/>
        <w:gridCol w:w="93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staff ensure that all residents and families are informed about the Health and Disability Commissioner (HDC) Code of Health and Disability Services Consumers' Rights (the Code).  There are posters displayed in visible locations throughout the facility.  Policies around the Code is implemented, and staff could describe how the Code is incorporated in their everyday delivery of care.  Staff receive training about the Code during their induction to the service, which continues through in-service education and training.  Interviews with staff (one executive officer, one clinical operations manager, five healthcare assistants, three registered nurses, and one diversional therapist)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resident files reviewed (one rest home and four hospital).  Discussions with staff confirmed that they are familiar with the requirement to obtain informed consent for entering rooms and personal care.  Enduring power of attorney (EPOA) evidence is filed in the residents’ charts.   Family stated that informed consent was sought on admission and residents interviewed agreed with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interviewed could describe the role of the advocacy service and where the leaflets could be located around the facility.  Advocacy service training occurred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service encourages the residents to maintain relationships with their family, friends and community groups by encouraging their attendance at functions and events.  The service provides assistance to ensure that the residents are able to participate in as much as they can safely and desire to do.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clinical operations manager maintains a record of all complaints, both verbal and written, by using a complaint register.  Documentation including follow-up letters and resolution, demonstrated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there has been one complaint in 2019, four complaints in 2020 including one DHB complaint which was resolved, one complaint received through the advocacy service, and one previous complaint received through the Health and Disability commissioner which was closed off in 2020.  There were no further recommendations required for any of these complaints.  There have been two complaints in 2021 (year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documented a comprehensive investigation, follow-up, and replies to the complainant.  As a result of complaints training was provided to staff around meaningful communication, and continence management.  Call bell audits have been implemented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at the entrances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resident/family meetings.  The five residents (three hospital and two rest home) and one relative (hospital) interviewed, reported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personal privacy, dignity and autonomy policy is documented.  Staff were observed interacting with residents throughout the audit.  All interactions were respectful and evidenced residents are treated with dignity and respect.  Residents and the relative interviewed were positive about the service in relation to their values and beliefs being considered and met.  Privacy is ensured, and independence is encouraged.  Staff interviewed described how they maintain resident privacy.  Staff sign a code of conduct declaration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and care plans identified residents preferred names.  Values and beliefs information is gathered on admission with family involvement and is integrated into the residents' care plans.  Spiritual needs are identified, and  Shabbat services are held.  There is a policy on abuse and neglect and staff have received training in 2019 and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culturally safe policy to guide staff in the delivery of culturally safe care.  The Māori health plan identifies the importance of whānau.  There were no residents identifying as Māori on the days of the audit.  While the service currently has no official linkages with Māori groups, the management team reported they would be able to access this through the DHB and can access the local marae.  Staff interviewed were knowledgeable around the principles of Māori health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identifies the residents’ personal needs and values from the time of admission.  This is achieved in partnership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Care plans reviewed included the resident’s social, spiritual, cultural and recreational needs.  Shalom Court continues to build on the previously awarded continuous improvement around providing a service centred around Jewish religious values and beliefs by facilitating  new Jewish community gatherings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healthcare assistants confirmed their understanding of professional boundaries, including the boundaries of the healthcare assistants’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24-hours a day.  There is a general practitioner which provides continuity of care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for each resident, reviews residents identified as stable rest home level of care every three months. Hospital level residents have monthly visits with more frequent visits for those whose condition is not deemed stable.  Physiotherapy services are provided for eight hours a week over two days.  A podiatrist visits on a regular basis, the dates the podiatrist is visiting is posted on resident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links with the local Jewish community and encourages residents to remain independent within the community.  The service has a strong resident centred focus.  The resident advocate (interviewed) visits the residents on a weekly basis and facilitates the monthly resident meetings.  The resident advocate talks with the residents and conveys any concerns they have.  The resident advocate is also involved in the event management sub-committee who meet monthly to discuss activities including (but not limited to); the activities programme, planning for upcoming celebrations/birthdays/happy hours, and discussing suggestions to introduce new activities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chairperson of the board and a board member interviewed described visiting the facility regularly, popping in to chat with residents and being involved in the happy hours, fundraising and celebrations held at the facility.  Each board member has a ‘portfolio’ including health and safety (member of the health and safety committee), finances, residents and relatives and human resources (HR).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Education is provided through attending in-services held at Shalom Court and through an online education platform.  Staff are encouraged to complete NZQA.  The clinical operations manager is a member of the palliative care education committee and has a strong relationship with Mercy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accident/incident forms reviewed (from April 2021) identified family are kept informed.  Electronic accident/incident forms have a section to indicate if next of kin have been informed (or not) of an accident/incident.  The relative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through the resident advocate and the monthly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There were three non-English speaking residents residing at Shalom court on the day of the audit.  Staff described learning basic words in the resident’s language to be able to communicate.  Family were utilised to interpret new information, and flash cards were used to aid communication.  The staff interviewed described getting to know each individual resident, learning about resident preferences and being able to pre-empt the needs of the residents.  One resident has an iPad and watches television programmes and movies in their own language.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Boutique Home and Hospital is a faith based not-for-profit organisation and governed by a board of eight governors.  A separate Trust board of three trustees own the buildings and plant.  The executive officer and clinical operations manager report monthly to the board of governors, who then report three-monthly to the Trust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provides rest home and hospital care for up to 26 residents in the care centre and rest home level care up to three residents in the cottages (the service has decided to decommission three of the six cottages certified to provide rest home care).  This reduces the total number of residents from 32 to 29 overall certified beds.    </w:t>
            </w:r>
          </w:p>
          <w:p w:rsidR="00EB7645" w:rsidRPr="00BE00C7" w:rsidP="00BE00C7">
            <w:pPr>
              <w:pStyle w:val="OutcomeDescription"/>
              <w:spacing w:before="120" w:after="120"/>
              <w:rPr>
                <w:rFonts w:cs="Arial"/>
                <w:b w:val="0"/>
                <w:lang w:eastAsia="en-NZ"/>
              </w:rPr>
            </w:pPr>
            <w:r w:rsidRPr="00BE00C7">
              <w:rPr>
                <w:rFonts w:cs="Arial"/>
                <w:b w:val="0"/>
                <w:lang w:eastAsia="en-NZ"/>
              </w:rPr>
              <w:t>The main facility (Phillip House) has 14 dual purpose beds and there is a hospital wing (Albert House) of 12 beds with a separate entry and an internal corridor link between the two buildings.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25 residents: 7 rest home level and 15 hospital level and 3 rest home residents in cottages.  All residents are under the age-related residential care contract.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executive officer has been in her role for two years and has previous experience as the operations manager at Shalom Court and office management for a religious organisation.  She is supported by the clinical operations manager (registered nurse) who has extensive experience in aged care management and clinical management.  They are supported by registered nurses and a team of long-standing experienced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2019-2022 strategic plan has been implemented.  The plan includes goals, including (but not limited to) Jewish occupancy, and introducing the community to Shalom Court, and looks at future goals and ambitions while adhering the vision, mission and philosophy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executive officer has attended education sessions including (but not limited to) the quarterly New Zealand Age Care Association (NZACA) branch meetings, the aged care managers conference, leadership and development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attends the annual NZACA conference, attends the aged care managers conference, attends district health board (DHB) aged care forums.  The executive officer has strong relationships with Jewish organisations and is a board member on two boards.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executive officer, the clinical operations manager provides management oversight of the facility with support from the board.  The registered nurses provide clinical oversight when the clinical operations manager is on temporary leave including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Shalom Court implements a quality and risk management programme which has been purchased from an external consultant.  Monthly data collated around incidents, accidents and infections is well documented and analysed with look back periods for previous months, and the previous years.  Remedial actions as needed are implemented.  There are monthly combined quality/staff meetings and clinical meetings.  Infection control and health and safety meetings are held three-monthly.  Staff interviewed reported good communication is maintained, discussions around quality data collated in the monthly quality and risk management report is reported to staff at handovers. Internal audits are completed, and corrective action plans have been developed and signed off by the clinical operations manager once complete.  The infection control coordinator and the health and safety representative provide monthly reports to the clinical operations manager, and reported they discuss results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at staff meetings and staff sign once they have read the policy.  </w:t>
            </w:r>
          </w:p>
          <w:p w:rsidR="00EB7645" w:rsidRPr="00BE00C7" w:rsidP="00BE00C7">
            <w:pPr>
              <w:pStyle w:val="OutcomeDescription"/>
              <w:spacing w:before="120" w:after="120"/>
              <w:rPr>
                <w:rFonts w:cs="Arial"/>
                <w:b w:val="0"/>
                <w:lang w:eastAsia="en-NZ"/>
              </w:rPr>
            </w:pPr>
            <w:r w:rsidRPr="00BE00C7">
              <w:rPr>
                <w:rFonts w:cs="Arial"/>
                <w:b w:val="0"/>
                <w:lang w:eastAsia="en-NZ"/>
              </w:rPr>
              <w:t>Annual satisfaction surveys are held.  The 2020 resident meeting evidenced an increase in respondents who were overall satisfied.  The relatives’ satisfaction survey had low response rates, but evidenced satisfaction with the service.  Areas of low satisfaction were investigated and opportunities for improvement were implemented where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are representative of the facility and includes the Clinical Operations Manager and a member of the board.  The health and safety representative and Board Member have completed external training around hazard and risk management.  A health and safety system is in place, goals are included in the strategic plan and the quality plan.  Hazard identification forms and an up-to-date hazard register is in place which was last reviewed in March 2021.  Staff interviewed were knowledgeable around minimising and reporting of hazards.  All staff are competent in the use of hoists and manual handling techniques.  Health and safety is included in orientation of new staff.  Fall prevention strategies are individualised for residents at risk of falling, including the use of sensor mats.  Fall prevention training was last completed in 2019 and again in 2021.  Registered nurses and healthcare assistants work closely with the physiotherapist and the Tai Chi master to complete exercises to prevent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Twelve resident related accident/incident forms were reviewed (five rest home and seven hospital).  Each event involving a resident reflected a clinical assessment and follow-up by a registered nurse.  There was evidence in the resident file around relative notification of incidents.  Incidents are analysed for trends; however, neurological observations were not always documented for unwitnessed falls as per policy.  All incident reports were reviewed and signed off by the clinical operations manager.  Interventions such as increased monitoring was recorded and fall prevention strategies were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One retrospective section 31 notification has been completed as there have been changes to both the Trust board and the board of governors.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Five staff files reviewed (two RNs, two HCAs and the diversional therapist)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restraint, manual handling, hand hygiene and medication).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education and training plan has been documented.  The service has implemented an online education platform for staff to access education as they wish.  The healthcare assistants undertake aged care education NZQA.  Education and training for clinical staff is linked to external education provided by the district health board.  Eleven staff have current first aid certificates, and staff who administer medications have current medication competencies.  All staff have completed hoist and manual handling competencies in the last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encouraged to gain a New Zealand Qualification Authority (NZQA).  Currently there are four HCAs with level 4 and nine HCAs with level 3 NZQA in health and wellbeing.  There are six registered nurses (including the clinical operations manager), three are competent in interRAI.  Syringe driver competencies are completed annually by the registered nurses through Mercy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 and policy, staffing levels meet contractual requirements.  There is a total of 25 staff including casual staff.  The management team includes: the executive officer and the clinical operations manager Monday to Friday.  The clinical operations manager is on call after-hours with other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Six registered nurses; morning shift -; 2x 7 am to 3 pm.  Afternoon - 1x 3 pm to 11 pm.  Night shift - 1x 11 pm to 7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Albert wing: Twelve beds, nine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two HCAs from 7 am to 3 pm.  Afternoon shift has two HCAs; 1x 3 pm to 11 pm, and one HCA from 3.30 pm to 9 pm.  There is one HCA overnight.</w:t>
            </w:r>
          </w:p>
          <w:p w:rsidR="00EB7645" w:rsidRPr="00BE00C7" w:rsidP="00BE00C7">
            <w:pPr>
              <w:pStyle w:val="OutcomeDescription"/>
              <w:spacing w:before="120" w:after="120"/>
              <w:rPr>
                <w:rFonts w:cs="Arial"/>
                <w:b w:val="0"/>
                <w:lang w:eastAsia="en-NZ"/>
              </w:rPr>
            </w:pPr>
            <w:r w:rsidRPr="00BE00C7">
              <w:rPr>
                <w:rFonts w:cs="Arial"/>
                <w:b w:val="0"/>
                <w:lang w:eastAsia="en-NZ"/>
              </w:rPr>
              <w:t>Philipp wing: Fourteen dual purpose beds with 10 residents (six hospital and four rest home), staff also supervise the three rest home residents in the apartment block (cottages).</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three HCAs; 2x 7 am to 3 pm and 1x 7 am to 2 pm.  Afternoon shift has two HCAs; 1x 3 pm to 11 pm and 1x3 pm to 9 pm.  There is one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staffing overall was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timed, dated and signed by the relevant healthcare assistant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standing orders and these meet medicine guidelines and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(in hospital) and senior medication competent HCAs (in rest home) administer medications.  All staff have up-to-date medication competencies and there has been medication education this year.  The medication fridge and room temperature is checked daily, recordings evidenced temperatures are maintained within expected ranges.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Ten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contracted.  The kitchen is not kosher, but every effort is made to adhere to kosher requirements as much as possible.  There is a small kosher kitchen on site for the Jewish community to utilise.  There is a kitchen manager who works 40 hours a week and a weekend chef who works sixteen hours.  There are catering assistants who cover seven hours a day, seven days a week.  All staff have food safety certificates.  The kitchen manager oversees the procurement of the food and management of the kitchen.  There is a well-equipped kitchen, and all meals are cooked on site.  Meals are served in the dining rooms from bain maries.  Meals going to rooms on trays have covers to keep the food warm.  Special equipment such as lipped plates is available.  </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audit, meals were observed to be hot and well-presented, and residents stated that they were enjoying their meal.  All kitchen records are electronic.  There is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The four-weekly menu cycle is approved by a dietitian.  Residents and family members interviewed were satisfied with the meals. The food control plan is due for renewal on 30 January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nutrition, pain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overall documented support needs and provided detail to guide care, however not all interventions were documented to support all assessed needs.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wound care nurse and physiotherapist.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incident/accident forms and written in the progress notes.  Neurological observations are not always completed for unwitnessed falls (link1.2.4.2).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documented, and wound monitoring occurs as planned.  There are currently three wounds being managed. 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(DT) who works 20 hours a week.  On the days of audit, rest home and hospital residents were observed participating in exercises with the physiotherapist, playing bingo, having manicures and doing Tai Chi.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residents have a copy in their rooms.  Residents have the choice of a variety of activities in which to participate, and every effort is made to ensure activities are meaningful and tailored to residents’ needs.  There is an art club.  The DT plays the ukulele and the guitar.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Shabbat Kiddush is held every Friday.  Residents do not have to be Jewish to attend.  There is a monthly lunch with the Rabbi.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van outings.  There is a hospital dog and volunteers also bring in dogs.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happy hour with entertainers or speakers.  Special events such as birthdays, Anzac Day, Queens’s birthday and many Jewish celebrations are recognised and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massive Jewish community involvement with many volunteers assisting the DT.  Silver Club is held monthly.  There is a speaker and morning tea.  Rosh Hodesh celebrates the first day of the Jewish month and volunteers serve wine, cheese and crackers.  There are visits from Kadima school and Bnai Akiva (scouts).  One resident goes out to bridge.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Resident meetings are held monthly, and residents and the relative were complimentary around activities during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care plans reviewed had been evaluated by the registered nurses six monthly or when changes to care occurs.  Written evaluation is completed that describes progress to meeting goals. Where the evaluation reflects a change in health status or usual activities this is updated in the care plan.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gerontology nurse, the mental health team and the hospice.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building’s hold a current warrant of fitness which expires 8 December 2021.  There is a maintenance person who works 37.5 hours a week.  There is a contracted lawn mowing person, but the maintenance person does the gardens.  Electrical and plumbing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preventative and reactive maintenance schedule.  Electrical equipment has been tested and tagged.  The scales are checked annually.  Hot water temperatures have been monitored randomly in resident areas and were within the acceptable range.  All wings are carpeted.  Corridors are wide, have safety rails and promote safe mobility with the use of mobility aids.  Residents were observed moving freely around the areas with mobility aids where required.  There are lifts between floors and there is also an air bridge between the care facility and apartment block (cottages).  The external areas and gardens were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ensuites.  Fixtures, fittings and flooring are appropriate.  Toilet/shower facilities are easy to clean.  There is ample space in toilet and shower areas to accommodate shower chairs if required.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wings there are large and small communal areas.  The larger areas are used for activities and the smaller areas are for residents to read, entertain visitors or just have quiet time.  The dining areas are part of the lounges but there is ample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 site.  All cleaning is contracted.  There is a cleaning manual and safety data sheets.  Personal protective equipment is available.  Cleaning services are monitored.  There are two sluice rooms for the disposal of soiled water or waste and the sluicing of soiled linen if required.  The sluice rooms are kept closed when not in use.   Cleaning trollies are locked in a cupboard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Six monthly fire evacuation drills take place (last in February 2021).  There are emergency management plans in place to ensure health, civil defence and other emergencies are included.  There are emergency folders with specific information held in each nurse’s station and civil defence supplies centrally located.  Emergency food stores are kept in the kitchen.  There are adequate supplies in the event of a civil defence emergency including a 750-litre water tank.  The service has BBQs and access to a generator in the event of a civil defence emergency.  Emergency lighting is installed throughout the facility.  Emergency management is included in staff orientation.  A minimum of one person trained in first aid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pager call bell system is in place and indicator lights are installed above resident bedroom doors.  There are call bells in the residents’ rooms and ensuites, communal toilets and lounge/dining room areas.  Residents were observed to have their call bells in close proximity.  The building is secure after hours.  When the apartments (cottages) are checked at night two staff attend.  They carry a torch and a phone.  Security gates have recently been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older area is heated by gas radiators and the new area has underfloor gas heating.  Staff and residents interviewed stated that both are effective.  The facility is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An infection control coordinator (RN) is responsible for infection control across the facility.  A job description outlines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set out by management and the infection control committee.  The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sign in.  Residents and staff are offered the annual influenza vaccine.  There are adequate hand sanitisers and signage throughout the facility.  There is an outbreak management cupboard and ample stock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online DHB and Bug Control education.  This is updated annually.  During Covid-19 there has been regular information from the DHB and the MOH.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access to an infection control nurse specialist through the DHB, public health, GPs, local laboratory and expertise from Bug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control policies that are current and reflect standards, legislation and good practice.  These policies are developed by management and the infection control committee and reviewed annually.  There is resource information and plans around Covid-19 from the DHB and the MOH.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There is no evidence of infection control training except for Covid-19 (link 1.2.7.5).  All staff complete hand hygiene audits.  In-services have been provided around PPE and outbreak management and there has been particular emphasis on this since Covid-19.  Any new communication regarding Covid-19 is relayed to staff meetings, noticeboards and at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care manager.  The infection control coordinator provides surveillance data which is included in the monthly quality and risk management reports discussed with staff at handovers and on staff notice board.  Trends are identified, and analysed, and preventative measures put in place.  Systems in place are appropriate to the size and complexity of the facility.  There is no infection control benchmarking.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used voluntarily by the residents.  On the day of audit, there were two residents using bedrails which had been documented as an enabler.  Risk assessments were completed, and consents had been signed by the next of kin for the use of bedrails.  Two hourly checks were documented as instructed by the care plan.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4"/>
        <w:gridCol w:w="1280"/>
        <w:gridCol w:w="3628"/>
        <w:gridCol w:w="4587"/>
        <w:gridCol w:w="15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of follow-up of all resident incidents by a registered nurse.  Relatives were notified and opportunities to minimise risks (where possible) were identified and implemented.  Neurological observations were not always documented for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seven unwitnessed falls (hospital level) did not have neurological observations completed following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neurological observations are completed for all unwitnessed falls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individualised and resident focused.  Three of five care plans included interventions to support all identified assessed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five care plans did not have interventions documented to support all assessed needs; (i)  One hospital resident with behaviours that challenge did not include de-escalation techniques to support staff in managing the behaviours; and (ii) one hospital resident did not have interventions to support the resident’s interests/social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include interventions to support all assessed needs and resident interests/social activities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59"/>
        <w:gridCol w:w="1280"/>
        <w:gridCol w:w="4499"/>
        <w:gridCol w:w="69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Shalom Court identified an increase in resident acuity and frailty, and identified that residents are generally living longer, therefore less able to get out to the community to join groups and religious celebrations.  A goal in the business plan is to broaden the scope of the Jewish community and look for ways to invite the Jewish community into the facility so residents can retain their spiritual and religious connections.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Due to the increased frailty of residents, Shalom Court embarked on a quest to -bring community groups to Shalom Court in order for our residents to remain included in community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Rabbis Kosher lunch is held.  Volunteers lead the weekly sabbath and festival services.  Three Rabbis provide spiritual support on request.  A Memorial Service is held for Jewish all residents who pass away at Shalom Court.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Additionally, in line with Jewish custom, prayer services (minyanim) are held at Shalom Court for Jewish residents as well as community members who passed away. This is a new initiative to enable our residents to attend prayers as many of our residents are too frail to attend funerals. Minyanim are held after sunset according to Jewish Law and this poses an additional impediment for residents wishing to attend these when held offsite. The Prayer Services (Minyanim) are actively supported by the Jewish Burial and Benevolent Society, spiritual leaders and the greater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Jewish youth groups visit the residents, and the young women prepare gift packages for each resident in celebration of  Jewish festivals.  Representatives from the Jewish organisations perform the candle lighting ceremony for the eight-days  of Chanukah.  </w:t>
            </w:r>
          </w:p>
          <w:p w:rsidR="00EB7645" w:rsidRPr="00BE00C7" w:rsidP="00BE00C7">
            <w:pPr>
              <w:pStyle w:val="OutcomeDescription"/>
              <w:spacing w:before="120" w:after="120"/>
              <w:rPr>
                <w:rFonts w:cs="Arial"/>
                <w:b w:val="0"/>
                <w:lang w:eastAsia="en-NZ"/>
              </w:rPr>
            </w:pPr>
            <w:r w:rsidRPr="00BE00C7">
              <w:rPr>
                <w:rFonts w:cs="Arial"/>
                <w:b w:val="0"/>
                <w:lang w:eastAsia="en-NZ"/>
              </w:rPr>
              <w:t>Shalom Court was the first facility to host New Zealand’s ‘Challah bake’ in November 2019.  This is a global event where members of the Jewish communities come together to observe the  Sabbath and enjoy meals together.  The residents were involved in  braiding the ceremonial bread for the function.  The function was well received by the residents.  The attendance went from 75 attendees in 2019 to 110 in 2020.  The function was held in the local bowling club due to Covid-19 risks; all residents were supported to attend.  The function was a great success with letters and emails of appreciation received from people who attended.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Shalom Court Auckland Incorporated - Shalom Court Rest Home</w:t>
    </w:r>
    <w:bookmarkEnd w:id="58"/>
    <w:r>
      <w:rPr>
        <w:rFonts w:cs="Arial"/>
        <w:sz w:val="16"/>
        <w:szCs w:val="20"/>
      </w:rPr>
      <w:tab/>
      <w:t xml:space="preserve">Date of Audit: </w:t>
    </w:r>
    <w:bookmarkStart w:id="59" w:name="AuditStartDate1"/>
    <w:r>
      <w:rPr>
        <w:rFonts w:cs="Arial"/>
        <w:sz w:val="16"/>
        <w:szCs w:val="20"/>
      </w:rPr>
      <w:t>27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