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Residential Management Limited - Terence Kennedy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Residential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Terence Kennedy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April 2021</w:t>
      </w:r>
      <w:bookmarkEnd w:id="7"/>
      <w:r w:rsidRPr="009418D4">
        <w:rPr>
          <w:rFonts w:cs="Arial"/>
        </w:rPr>
        <w:tab/>
        <w:t xml:space="preserve">End date: </w:t>
      </w:r>
      <w:bookmarkStart w:id="8" w:name="AuditEndDate"/>
      <w:r w:rsidR="00A4268A">
        <w:rPr>
          <w:rFonts w:cs="Arial"/>
        </w:rPr>
        <w:t>30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Terence Kennedy House provides rest home and hospital level care for up to 45 residents.  On the day of the audit there were 40 residents.  The service is managed by experienced hospital and clinical managers with support from the General Manager.  The residents and relatives interviewed all spoke very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staff, management, and a general practitioner.  </w:t>
      </w:r>
    </w:p>
    <w:p w:rsidRPr="00A4268A">
      <w:pPr>
        <w:spacing w:before="240" w:line="276" w:lineRule="auto"/>
        <w:rPr>
          <w:rFonts w:eastAsia="Calibri"/>
        </w:rPr>
      </w:pPr>
      <w:r w:rsidRPr="00A4268A">
        <w:rPr>
          <w:rFonts w:eastAsia="Calibri"/>
        </w:rPr>
        <w:t>This audit has identified the following shortfalls around implementation of care, and self-administration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There is an established system for the management of complaints, which meets guidelines established by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documented quality and risk management programme is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 Registered nursing cover is provided 24 hours a day, seven days a week.  </w:t>
      </w:r>
    </w:p>
    <w:p w:rsidRPr="00A4268A">
      <w:pPr>
        <w:spacing w:before="240" w:line="276" w:lineRule="auto"/>
        <w:rPr>
          <w:rFonts w:eastAsia="Calibri"/>
        </w:rPr>
      </w:pPr>
      <w:r w:rsidRPr="00A4268A">
        <w:rPr>
          <w:rFonts w:eastAsia="Calibri"/>
        </w:rPr>
        <w:t>The resident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screened and approved prior to entry to the service.  There is a comprehensive admission package available prior to or on entry to the service.  The registered nurses are responsible for each stage of service provision.  A registered nurse assesses and reviews residents' needs, outcomes, and goals with the resident and/or family/whānau input.  Care plans reviewed demonstrate service integration and are evaluated at least six-monthly.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responsible for the administration of medicines complete education and medication competencies.  Medication charts are reviewed three-monthly by the general practitioner. </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encouraged to maintain community links.  There are regular entertainers, outings, and celebrations.  Residents and families report satisfaction with the activities programme. All meals are provided on site. Resident individual preferences, likes and dislikes are known to kitchen staff. There is a dietician review of the menu. Choices are offered.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Terence Kennedy House has restraint minimisation and safe practice policies and procedures in place.  Staff receive training in restraint minimisation and challenging behaviour management.  On the day of audit, there were no residents using restraint. Six residents were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(clinical manager)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There have been two outbreaks in the previous year, both were appropriately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57"/>
        <w:gridCol w:w="1280"/>
        <w:gridCol w:w="88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the general manager, hospital manager and clinical manager; and staff including four healthcare assistants, two registered nurses (RN), one activities coordinator, the cook, maintenance, one laundry staff and one cleaner confirmed their familiarity with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seven residents (one rest home and six hospital) and two hospital families confirmed that services are being provided are in line with the Code.  The Code is discussed at resident, staff,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Code of Rights training including advocacy, informed consent, privacy, and prevention of elderly abuse, are part of the mandatory training days that staff undertake which are facilitated twice a year to ensure all staff attend.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seven files reviewed, (five hospital and two rest home residents), residents had general consent forms signed on file.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reviewed.  Copies of enduring power of attorney (EPOA) were on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There are complaint forms available, and family and residents stated that they knew where to get these from.  Information about complaints is provided on admission.  Interview with residents demonstrated an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Verbal and written complaints are documented.  There have been fifteen complaints in 2020 and two in 2021 year to date.  The complaint documentation was reviewed for three complaints.  All had documented investigation, timeframes, corrective actions when required and resolutions were in place if required.  Results are fed back to complainants.  Discussions with residents confirmed that any issues are addressed, and they feel comfortable to bring up any concerns.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complaints were sent to the district health board and to the Health and Disability Commission. One has been closed with no actions required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managers discuss the information pack with the resident and the family/whānau.  The information pack incudes a copy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2020.  Staff were observed respecting resident’s privacy and can describe how they manage maintaining privacy and respect of personal property.  All residents interviewed stated their needs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Church services are conducted weekly.  All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There were no residents who identified as Māori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staff confirm that they are aware of the need to respond to cultural differences and described how they would document the care plans for the specific cultural requirements of Māori residents.</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links with Hoani Waititi Marae close by in West Auckland and there is a health care assistant who identifies as Maori and who is able to provide guidance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meeting the cultural needs of its residents.  All residents interviewed report that they are satisfied that their cultural and individual values are being met.  Information gathered during assessment including resident’s cultural beliefs and values, is used to develop a care plan, which the resident and/or their family/whānau are asked to consult on.  Staff have received training on cultural awareness in the past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is not able to speak English however family provide support for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RNs supervise staff to ensure professional practice is maintained in the service.  The abuse and neglect processes cover harassment and exploitation.  All residents interviewed report that the staff respect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which have been developed in line with current accepted best practice and these are reviewed regularly or at least two-yearly.  The content of policy and procedures are sufficiently detailed to allow effective implementation by staff.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and discussed.  The clinical manager and hospital manager along with the general manager collate and monitor data with all discussed at the relevant meetings.  Feedback is provided to staff. Corrective action plans are developed where results do not meet targets.  </w:t>
            </w:r>
          </w:p>
          <w:p w:rsidR="00EB7645" w:rsidRPr="00BE00C7" w:rsidP="00BE00C7">
            <w:pPr>
              <w:pStyle w:val="OutcomeDescription"/>
              <w:spacing w:before="120" w:after="120"/>
              <w:rPr>
                <w:rFonts w:cs="Arial"/>
                <w:b w:val="0"/>
                <w:lang w:eastAsia="en-NZ"/>
              </w:rPr>
            </w:pPr>
            <w:r w:rsidRPr="00BE00C7">
              <w:rPr>
                <w:rFonts w:cs="Arial"/>
                <w:b w:val="0"/>
                <w:lang w:eastAsia="en-NZ"/>
              </w:rPr>
              <w:t>Health professionals are engaged to support a resident when required. A general practitioner visits residents twice per week with on-call medical services available 24/7.  In the selection of resident files reviewed, care plans reflected input from physiotherapists, dietitians, and podiatrists. Residents and family interviewed confirmed that they were very satisfied with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Twenty-one incidents/accident forms were reviewed.  The forms included a section to record family notification.  All forms indicated family were informed or if family did not wish to be informed.  Relatives interviewed confirmed that they are notified of any changes in their family member’s health status.  There were no residents requiring the use of interpreting services. Managers are aware of how to access interpreting services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Terence Kennedy House is an aged care facility located in West Auckland.  There are 45 dual purpose rest home and hospital level beds.  On the day of the audit there were 40 residents.  There were four rest home level residents, and 36 hospital level residents, including one resident admitted under the long-term service - chronic health care contract, and one resident admitted under an ACC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is in place for 2020 with this reviewed prior to the documentation of the 2021 business plan.  The 2021 business plan is being implemented and reviewed. A mission, philosophy and objectives are documented for the service. There are monthly management meetings that include managers from two sites owned by the same company. There are also quality review meetings held two-monthly with managers from both sites joining the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(GM) has 15 years of management experience in the aged care sector. The GM has qualifications in software development. The hospital manager is supported by the clinical manager who has been in the role for 18 months and has over 25 years’ experience in aged care. The hospital manager has been in the role for one year with 10 years’ experience in aged care overseas. Managers have received at least eight hours training relevant to their roles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clinical manager provide cover in the absence of the hospital manager, and if either one is on leave. This was confirmed through interview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managers and staff confirmed an understanding of the quality and risk management systems that is in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with recent reviews of the urinary tract infection policy with reference to catheterised residents, the catheter policy with timeframes now included around emptying and changing catheter bags, and other interventions related to catheters.  Policies and procedures have been updated to include reference to the reviewed Privacy Act.  New policies or changes to policy are communicated to staff, evidenced in meeting minutes.  Staff are expected to sign that they have read the new/revised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in place including internal audits; incident and accident reporting; health and safety reporting; infection control data; and complaints management.  Data is being collected monthly and discussed with and communicated to staff.  There are a range of meetings to ensure that all staff are knowledgeable and up to date including a monthly meeting that include staff meetings, health and safety and infection control, resident (was two monthly, but timeframes increased to ensure all residents were kept updated around Covid 19), and registered nurse meetings. Corrective actions are documented when issues or shortfalls are identified and there is evidence of resolution of issues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family satisfaction survey completed last in June 2020 showed that they were very satisfied with services provided. There were no identified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quality improvements have been made since the last audit including the introduction of a computerised documentation system; review of continence, neurological observations, interRAI assessment process and care planning; use of the Lab Tests Portal that has provided quicker access to results; and an integrated comprehensive approach to the Covid 19 pandemic as per Public health and Ministry of Health guidelines and instructions. A Palliative Care – End of Life booklet for families has been developed. The phone system has been updated and a nurse call escalation system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that meets current legislative requirements.  A review of health and safety documentation confirms that legislative requirements are being met.  External contractors have been orientated to the facility’s health and safety programme.  The hazard register is reviewed monthly with any hazards addressed in a timely manner. Falls prevention strategies include the use of sensor mats and implementing strategies for frequent fallers.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enters this information into an electronic register for data collation and analysis.  The system provides monthly reports, which are then discussed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21 resident-related incident forms reviewed with these documented electronically.  All incident forms (one choking episode, two skin tears and eighteen unwitnessed falls) identified a timely RN assessment of the resident and corrective actions to minimise resident risk and reoccurrence.  Neurological observations were completed for seventeen unwitnessed falls but did not consistently follow protocol (link 1.3.6.1).  Families had been contacted for all incidents.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describe the incident reporting process.  The clinical manager investigates and signs off on all incident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interviewed could describe situations that would require reporting to relevant authorities. There were a number of notifications to the Ministry of Health as per Ministry of Health direction around registered nurse shortages from January 2020 to March 2021 with the clinical manager and hospital manager stepping in to cover some shifts as required. There is now a full complement of nursing staff. There is also one section 31 notification for a pressure injury and for changes in the hospital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staff files were reviewed (one clinical manager, one registered nurse, one activities coordinator, one cook, one laundry and two healthcare assistants) and all evidenced that reference checks are completed before employment is offered.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in place that provides new staff with relevant information for safe work practice.  The in-service education programme for 2020 has been reviewed and a plan for 2021 is being implemented.  All care staff have completed training related to clinical care following review of policies e.g. catheter care planning and management of recurrent urinary tract infections (UTIs), training based on BPAC’s A Pragmatic Guide to Asymptomatic Bacteriuria and Testing for UTIs in People Aged over 65, indwelling catheters using a case study approach. Competencies are completed as per annual training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registered nurses are able to attend external training, including sessions provided by the local district health board.  Five registered nurses have completed interRAI training with one currently in training. The clinical manager is also interRAI trained.  Annual staff appraisals are evident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25 healthcare assistants who have completed the following levels as per CareerForce: 10 level 4, 4 level 3, 2 level 2, and 9 level 0. The managers encourage staff to engage in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includes a staffing rationale and skill mix.  Sufficient staff are rostered to manage the care requirements of the residents.  The hospital and clinical managers are on-site Monday to Friday and on call after hours.  The general manager is also on call with the clinical manager at the second site also able to be called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staff are rostered: seven healthcare assistants on the morning shift (two long and three on a short shift including one from 8AM-2.30PM, two from 7AM-1PM, and two from 8AM-12PM); six healthcare assistants on the afternoon shift (two long and four on a short shift including three from 4PM-8PM and one from 5PM to 9PM); two healthcare assistants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were reviewed for the past three months and showed that extra staff were called in for increased resident requirements and staff were replaced when on leave. The service has a pool of casual staff and has only had to use bureau staff four times since March 2021. There is a team leader (healthcare assistant) on sides A, B, C who allocates staff to a group of residents and who oversees staffing to ensure that there is a mix of new and more experienced staff with each group of residents.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on five days per week.  There are separate domestic staff that are responsible for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confirms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Information containing sensitive resident information is not displayed in a way that can be viewed by other residents or members of the public.  Entries in records are legible, dated and signed by the relevant healthcare assistant, registered nurse, or other healthcare professional.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organisational admission policy.  All residents have a needs assessment completed prior to entry that identifies the level of care required.  The hospital manager and clinical manager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was one resident self-medicating on the day of audit, who had been initially assessed as competent to self-administer by the RN and GP, however competence had not been reviewed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There are standing orders in use which are comprehensively documented, including indications for use, frequency, and maximum doses.  These are reviewed three-monthly by the GP.  There are no vaccines stored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administer medications, have up to date medication competencies and there has been medication education in the last year.  Registered nurses have syringe driver training completed by the hospice.  The medication fridge and room temperatures are checked daily.  Eye drops viewed in both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Fourteen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Terence Kennedy House are prepared and cooked on-site.  There is a four-weekly seasonal menu which has been reviewed by a dietitian last in December 2020.  Meals are plated in the kitchen and then served in the two dining rooms.  End cooked meals and fridge and freezer temperatures are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needs are known with individual likes and dislikes accommodated.  Cultural and religious food preferences are met.  There is a system to identify residents who require monitoring of food intake.  Specialised crockery and utensils are available to help promote independence at meal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enjoying their lunch in one dining room.  Residents’ meetings allow for the opportunity for resident feedback on the meals and food services.  Residents are complimentary of the food and confirm that alternative food choices are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work in the kitchen have completed food safety and hygiene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has been verified by the Ministry of Primary Industries with this reviewed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directed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including initial assessments had been completed for all long-term residents’ files reviewed including one funded by ACC and one LTS-CHC.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identify that risk assessments are completed on admission and reviewed six-monthly as part of the evaluation unless changes occur prior, in which case a review is carried out at that time.  Additional assessments for management of behaviour, pain, nutrition, falls and other safety assessments including restraint, are appropriately completed according to need.  For the resident files reviewed, the outcomes from assessments and risk assessments were reflected into care plans, however not all wound care assessments had been completed appropriately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overall demonstrated service integration and input from allied health (link 1.3.6.1).  Resident care plans were resident centred and support needs and interventions were documented to reflect the resident goals, however not all care plans had been updated to reflect the resident’s current health status (link 1.3.6.1).  Family members interviewed confirm care delivery and support by staff is consistent with their expectations.  Residents (if appropriate) and family stated they were involved in the care planning and review process.  Behaviour management including triggers, interventions and successful de-escalation techniques was included in the long-term care plan in two of the two residents with behaviour that challenges.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Six of seven long-term care plans reviewed reflected the resident current needs and supports.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occurred as planned and there are also photos to show wound progress.  Wounds included three chronic wounds, two skin tears, one grade 4 pressure injury and one abrasion.  Wound documentation for a deteriorating pressure injury did not reflect the change and there was no referral to a wound care specialist.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However, neurological observations had been documented as completed as per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covering Monday to Friday who plans and leads all activities.  The service designates weekends as ‘family time’ and also arranges activities on some ‘themed’ weekends such as Easter or Mother’s Day.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which are varied according to resident preference and need.  These include (but are not limited to) exercises, happy hour, crafts, games, quizzes, entertainers, pet therapy, floor games and bingo.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cannot participate in group activities have one-on-one visits and activities such as hand massage are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 and the service utilises the adjoining village’s accessible minibus.  There are regular entertainers visiting the facility.  Special events like birthdays, St Patrick’s, Mothers’ Day, and Anzac Day are celebrated.  There are visiting community groups such as churches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evaluated by the RNs six monthly or earlier if there was a change in resident health status.  Evaluations are documented and identify progress to meeting goals.  A six monthly multi-disciplinary review (MDR) is also completed by the registered nurse with input from caregivers, the GP, the activities coordinator, resident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GP for all residents, which family are able to attend if they wish to do so.  Short-term care plans are in use for acute and short-term issues.  These are evaluated at regular intervals.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majority of resident files (link 1.3.6.1 ).  The service facilitates access to other medical and non-medical services.  Referral documentation is maintained on resident files.  The clinical manager interviewed could describe the procedure for when a resident’s condition changes and the resident needs to be reassessed for a higher or different level of care.  Discussion with the clinical manager and registered nurses identifies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30 October 2021.  A request book for repairs is maintained and signed off as repairs are completed.  There is a part-time maintenance officer who, with oversight of the village manager carries out the monthly planned maintenance programme.  The village manager is on call after hours for urgent matters.  The checking and calibration of medical equipment including hoists, has been completed annually.  All electrical equipment has been tested and tagged.  Hot water temperatures have been tested (randomly) and recorded fortnightly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including decks and landscaped external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a full ensuite.  Handrails are appropriately placed in ensuite bathrooms and there is ample space to accommodate shower chairs and a hoist if appropriate.  Privacy is assured with the use of ensuites.  Fixtures, fittings, floorings, and wall coverings are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Staff interviewed reported that rooms have sufficient space to allow cares to take place.  Residents are encouraged to bring their own pictures, photos, and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There is a large main activities lounge, however activities occur in all areas of the facility,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has a dirty to clean workflow and a separate clean laundry sorting room.  All linen and personal clothing is laundered on site.  The chemical provider monitors the effectiveness of the laundry process.  Cleaning trolleys are kept in designated locked cupboards when not in use.  Residents and family interviewed reported satisfaction with the cleaning and laundry service.  Internal audits also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sufficient emergency water for 3 litres per person, per day for 3+ days for resident use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show on a display panel and also give an audible alert.  Security policies and procedures are documented and implemented by staff.  The buildings are secure at night, with external gates being locked between 19.00 and 06.30.  There is security lighting externally and CCTV covering entrances, exits and corridors.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 facility has underfloor heating which is thermostatically controlled.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(clinical manager) is an RN who is responsible for infection control across the facility as detailed in the infection control coordinator job description (signed copy sighted on day of audit).  The coordinator oversees infection control for the facility, reviews incidents on the electronic resident management system and is responsible for the collation of monthly infection events and reports. The facility management team are responsible for the development of and completing the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Visitors are asked not to visit if they are unwell.  Residents are offered the influenza vaccine.  There have been two outbreaks since the last audit which were well managed with appropriate referrals to, and input from public health and the DHB. </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donning/doffing and use of PPE.  The service also conducted regular PPE interactive demonstrations, with procedures being reinforced through the use of laminated pocket reference guides given to all team members.  Other pandemic readiness strategies included the recording of staff ‘bubbles’ and documentation tracking dedicated staff allocations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Terence Kennedy House.  Information is shared as part of staff meetings and also as part of the registered nurse meetings.  The infection control coordinator has completed annual training in infection control through the local DHB.</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an online learning portal, external specialists, microbiologist, GP, wound nurse and DHB when required.  The GP and clinical manager monitor the use of antibiotics.  Overall effectiveness of the programme is monitored by the facility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the facility management team in conjunction with an external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 education and ensuring staff complete the online training available on the ‘Ko Awatea’ internet based DHB education system.  Training on infection control is included in the orientation programme.  Registered staff have completed online infection control study in the last 12 months.  The infection control coordinator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Terence Kennedy House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registered nurse and staff meetings.  Meeting minutes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database to facilitate trend analysis.  Corrective actions are established where trends are identified.  The service also plans to commence benchmarking with its sister facility in the near future.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There were no residents using restraint and six residents using enablers (bedrails) on the day of audit.  Three records around use of enablers were reviewed for three residents and all had assessments completed along with written consent.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confirms their understanding of the differences between a restraint and an enabler.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training around restraint minimisation and the management of challenging behaviour that begins during their induction to the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6"/>
        <w:gridCol w:w="1280"/>
        <w:gridCol w:w="4942"/>
        <w:gridCol w:w="4328"/>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systems and policies in place for self-medication by residents.  There was one resident self-administered medications on the day of audit.  GP review of the self-medication assessment and consent and security of medications were not completed according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rest home resident who self-administer medications (inhaler) had not had a documented GP review of the self-medication assessment and consent in the last three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assessment and consent for self-medication is reviewed three-monthly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electronic clinical records reviewed included resident-focussed care plans, including short-term care plans for acute needs and changes to care.  Six of seven long-term care plans reviewed reflected the resident current needs and supports.  Resident and families agreed that the care provided was good and staff are caring and supportive.  Wound documentation for a deteriorating pressure injury did not reflect the change.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Neurological observations were not consistently documented according to organisational policy for eleven falls which required neurological observations.  Ten had fewer than the required minimum number of observations taken.</w:t>
            </w:r>
          </w:p>
          <w:p w:rsidR="00EB7645" w:rsidRPr="00BE00C7" w:rsidP="00BE00C7">
            <w:pPr>
              <w:pStyle w:val="OutcomeDescription"/>
              <w:spacing w:before="120" w:after="120"/>
              <w:rPr>
                <w:rFonts w:cs="Arial"/>
                <w:b w:val="0"/>
                <w:lang w:eastAsia="en-NZ"/>
              </w:rPr>
            </w:pPr>
            <w:r w:rsidRPr="00BE00C7">
              <w:rPr>
                <w:rFonts w:cs="Arial"/>
                <w:b w:val="0"/>
                <w:lang w:eastAsia="en-NZ"/>
              </w:rPr>
              <w:t>(ii) One hospital resident’s care plan did not document interventions to support pressure injury management.  (iii) The wound care documentation for the same hospital resident did not reflect the deterioration from grade 2 to a grade 4 pressure injury.  (iii) There was no referral to a wound nurse specialist for the hospital resident with a pressure injury that had deteriorated to grade 4.</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neurological observations are documented as per organisational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care plan interventions reflect pressure injury management of a current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(iii).Ensure wound care specialist input for deteriorating pressure injuries.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Residential Management Limited - Terence Kennedy House</w:t>
    </w:r>
    <w:bookmarkEnd w:id="58"/>
    <w:r>
      <w:rPr>
        <w:rFonts w:cs="Arial"/>
        <w:sz w:val="16"/>
        <w:szCs w:val="20"/>
      </w:rPr>
      <w:tab/>
      <w:t xml:space="preserve">Date of Audit: </w:t>
    </w:r>
    <w:bookmarkStart w:id="59" w:name="AuditStartDate1"/>
    <w:r>
      <w:rPr>
        <w:rFonts w:cs="Arial"/>
        <w:sz w:val="16"/>
        <w:szCs w:val="20"/>
      </w:rPr>
      <w:t>29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