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FOMHT Health Services Limited - Jack Inglis Friendship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FOMHT Health Services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Jack Inglis Friendship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May 2021</w:t>
      </w:r>
      <w:bookmarkEnd w:id="7"/>
      <w:r w:rsidRPr="009418D4">
        <w:rPr>
          <w:rFonts w:cs="Arial"/>
        </w:rPr>
        <w:tab/>
        <w:t xml:space="preserve">End date: </w:t>
      </w:r>
      <w:bookmarkStart w:id="8" w:name="AuditEndDate"/>
      <w:r w:rsidR="00A4268A">
        <w:rPr>
          <w:rFonts w:cs="Arial"/>
        </w:rPr>
        <w:t>5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Jack Inglis Friendship Hospital is governed by a Trust board and provides rest home, hospital, and dementia level of care level care for up to 77 residents.  On the day of the audit there were 67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a general practitioner.  </w:t>
      </w:r>
    </w:p>
    <w:p w:rsidRPr="00A4268A">
      <w:pPr>
        <w:spacing w:before="240" w:line="276" w:lineRule="auto"/>
        <w:rPr>
          <w:rFonts w:eastAsia="Calibri"/>
        </w:rPr>
      </w:pPr>
      <w:r w:rsidRPr="00A4268A">
        <w:rPr>
          <w:rFonts w:eastAsia="Calibri"/>
        </w:rPr>
        <w:t>The chief executive officer is well qualified and experienced for the role and is supported by a clinical manager and two clinical nurse leaders. Key improvements since the last audit have included the development of an engaged and effective leadership team, a restraint free environment and a revamp of the brand with the service now called Jack Inglis Care Home with the logo and website refreshed accordingly.  Residents, relatives, and the GP interviewed spoke very positively about the service provided.</w:t>
      </w:r>
    </w:p>
    <w:p w:rsidRPr="00A4268A">
      <w:pPr>
        <w:spacing w:before="240" w:line="276" w:lineRule="auto"/>
        <w:rPr>
          <w:rFonts w:eastAsia="Calibri"/>
        </w:rPr>
      </w:pPr>
      <w:r w:rsidRPr="00A4268A">
        <w:rPr>
          <w:rFonts w:eastAsia="Calibri"/>
        </w:rPr>
        <w:t xml:space="preserve">The service has received a rating of continuous improvement for the focus on evidence based and best practice that has led to improvements for residents. </w:t>
      </w:r>
    </w:p>
    <w:p w:rsidRPr="00A4268A">
      <w:pPr>
        <w:spacing w:before="240" w:line="276" w:lineRule="auto"/>
        <w:rPr>
          <w:rFonts w:eastAsia="Calibri"/>
        </w:rPr>
      </w:pPr>
      <w:r w:rsidRPr="00A4268A">
        <w:rPr>
          <w:rFonts w:eastAsia="Calibri"/>
        </w:rPr>
        <w:t>This audit has identified one area requiring improvement around Māori health.</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stated that their rights are upheld.  Systems protect their physical privacy and promote their independence.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through several processes to ensure it aligns with the identified values, scope, and strategic direction.  The business plan is tailored to reflect the goals related to Jack Inglis Care Home.  There are policies and procedures to provide appropriate support and care to residents with hospital, dementia, and rest home level needs.  This includes a documented quality and risk management programme with data analysed and improvements made as a result of discussion.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2020 and 2021.  Rosters and interviews indicated sufficient staff that are appropriately skilled, with flexibility of staffing around clients’ needs.  A roster provides sufficient and appropriate coverage for the effective delivery of care and support.  Registered nursing cover is provided twenty-four hours a day, seven days a week.  </w:t>
      </w:r>
    </w:p>
    <w:p w:rsidRPr="00A4268A">
      <w:pPr>
        <w:spacing w:before="240" w:line="276" w:lineRule="auto"/>
        <w:rPr>
          <w:rFonts w:eastAsia="Calibri"/>
        </w:rPr>
      </w:pPr>
      <w:r w:rsidRPr="00A4268A">
        <w:rPr>
          <w:rFonts w:eastAsia="Calibri"/>
        </w:rPr>
        <w:t>The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Residents’ records reviewed, provided evidence that the registered nurses utilise the interRAI assessment to assess, plan and evaluate care needs of the residents.  These are then reviewed and discussed with the resident and/or family/whānau input.  Care plans are reviewed at least six-monthly.  Resident files include medical notes by the contracted general practitioners (GPs),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All staff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diversional therapist implements the activity programme to meet the individual needs, preferences, and abilities of the residents.  Residents are encouraged to maintain community links.  There are regular entertainers, outings, and themed celebrations.  Residents and families reported satisfaction with the activities programme.</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There are nutritious snacks available at all times.  A contracted dietitian reviews the organisation’s menu plans.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using restraint or enablers.  Staff training has been provided around restraint minimisation and management of challenging behaviours.  The managers and staff have worked to identify individual strategies for residents other than using restraint or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(clinical manager) is responsible for coordinating education and training for staff.  The infection control coordinator (ICC) has completed annual training provided internally and has access to external training provided by the local DHB.  There is a suite of infection control policies and guidelines available to support practice.  The ICC uses the information obtained through surveillance to determine infection control activities, resources and education needs within the facility.  There has been one outbreak in the previous year which was appropriately 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35"/>
        <w:gridCol w:w="1280"/>
        <w:gridCol w:w="932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Policy relating to the Code is implemented and managers and staff interviewed (the chief executive officer, clinical manager, two clinical nurse leaders, six caregivers, four registered nurses (RN), one enrolled nurse, one cook, activities coordinator, diversional therapist, one maintenance, one laundry staff, one cleaner)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consents are included in the admission agreement and additional consents are signed by the resident or their enduring power of attorney (EPOA).  The admission agreements have been signed on admission in the sample of files reviewed.  Advanced directives sighted in the resident files were signed appropriately.  The caregivers and managers confirmed verbal consent is obtained when delivering care.  Discussion with family members identified that the service actively involves them in decisions that affect their relative’s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advocacy services with this offered to any complainant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education and training on the role of advocacy services, which begins during their induction to the service with training records confirming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Residents may have visitors of their choice at any time and family interviewed confirmed that they can visit whenever they like.  The main doors lock at dusk.  Family are able to ring through to the RN if they wish to visit after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their relationships with their friends and community groups.  Assistance is provided by the care staff to ensure that the residents participate in as much as they can safely and desire to do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with responsibilities identified to ensure that all complaints (verbal or written) are fully documented and investigated.  The chief executive officer and/or the clinical manager is responsible at this facility for addressing any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residents/family members in various places around the facility.  There is a complaints’ register that includes relevant information regarding the complaint.  There have been 12 complaints in 2020 and six in 2021 to date.  Three were reviewed and all confirmed that complaints are responded to in a timely manner as per policy with each complainant confirming that they were happy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that they felt they could complain at any time and that their concerns had been dealt with in a timely manner to their satisfaction.  They also stated that the managers were ‘extremely competent and visible’ which allowed for discussion and encouraged any concerns to be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complaint was lodged with the Health and Disability Commissioner in 2019.  This has now been closed out with no actions required.  There have not been any other complaints from external providers since then.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A clinical nurse leader, clinical manager, or registered nurse (RN) discusses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residents interviewed (four rest home including one using respite level of care, and five receiving hospital level care) confirmed that they received cares that met their needs, and all were aware of their rights.  Thirteen family members interviewed (seven rest home including one using respite level of care, three with family requiring hospital level care, and three with family in the dementia unit) confirmed that staff had informed them of the Code.  Discussions relating to the Code are also held during the resident and family meetings for those with family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Rooms have ensuites and there are communal toilets as well.  All have a mechanism or way of determining if the rooms are occupied to ensure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cares are being given and do not hold personal discussions in public areas.  This was observed to occur during the audit.  Caregivers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Incidents were reviewed for 2021 and there are no incidents around abuse.  Staff and the general practitioner interviewed confirmed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spiritual services and residents are encouraged to attend their own spiritual care in the community if they can.  There is at least one church service a week.  Any resident or family member can attend.  Spiritual needs are individually identified as part of the assessment and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is one resident living at the facility who identifies as Māori and they were assessed for cultural needs as part of the interRAI assessment and care plan.   </w:t>
            </w:r>
          </w:p>
          <w:p w:rsidR="00EB7645" w:rsidRPr="00BE00C7" w:rsidP="00BE00C7">
            <w:pPr>
              <w:pStyle w:val="OutcomeDescription"/>
              <w:spacing w:before="120" w:after="120"/>
              <w:rPr>
                <w:rFonts w:cs="Arial"/>
                <w:b w:val="0"/>
                <w:lang w:eastAsia="en-NZ"/>
              </w:rPr>
            </w:pPr>
            <w:r w:rsidRPr="00BE00C7">
              <w:rPr>
                <w:rFonts w:cs="Arial"/>
                <w:b w:val="0"/>
                <w:lang w:eastAsia="en-NZ"/>
              </w:rPr>
              <w:t>Managers and staff have connections with local kaumātua and kuia who attend the site for staff and Māori resident support and blessing of site/rooms post death.  There are close working relationships with Te Piki Oranga, the Māori health provider attached to Te Awhina Marae.  A nurse manager from the marae is a trustee on the Board along with the chairperson of the Board.  There are staff employed in the service who identify as Māori including the chief executive officer and others.  Staff receive annual education on cultural awareness that begins during their induction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for recognition of Māori Values and Beliefs and a Māori Health Providers Policy.  The Māori Hononga-Relationship Plan February 2019 - February 2022 includes an action plan that furthers equity for Māori including in areas related to facility expectations, consultation/sharing of information’ to achieve Māori input, policy/procedures, Māori clients/residents, evidence of practice, and recruitment and retainment of Māori staff.  Documentation of review of the plan was not able to be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can also access support through the Māori Health Unit at the district health board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family member who identified as Māori praised the staff for their cultural sensitivity and their ability to provide a holistic model of care as identified in policy (the whare tapa whā model). One resident interviewed also identified as Māori praised the service for support to reach out to their marae in the North Island and to engage in activities that met their needs.  Care staff interviewed described the resident as ‘lighting up’ when they put on the Māori TV channel for them and when they included activities specifically related to their culture as part of the activities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Staff interviewed confirmed that they are committed to ensuring each resident remains a person, even in a state of decline.  Beliefs and values are discussed and incorporated into the care plan as sighted in the review of nine resident records (four rest home, two dementia, and three hospital).  Residents and families interviewed confirmed they are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identifies as Pacific and there is a staff member employed who is able to speak their language.  Family also supports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have not experienced any discrimination, coercion, bullying, sexual harassment, or financial exploitation.  Professional boundaries are reconfirmed through education and training sessions, staff meetings, and managers stated that performance management would address any concerns if there was discrimination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dementia, or hospital level care as identified through interviews with care staff and through an audit of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The quality programme has been designed to monitor contractual and standards compliance and the quality-of-service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Both family and residents interviewed stated that the managers were very visible and encouraged open discussion at all times.  Staff interviewed had a sound understanding of principles of aged care and stated that they are supported by the management team.  Caregivers’ complete competencies relevant to their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interviewed is satisfied with the care that is being provided by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been awarded a rating of continuous improvement for continued improvements in service provision that have benefited staff, residents, family members and external service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were given an explanation about the services and procedures and were orientated to the facility as part of the entry process.  They also stated their relatives are informed of changes in health status and incidents/accidents with family interviewed confirming that they were kept informed at all times.  A review of 15 incident forms confirmed that family were informed in a timely manner when incidents occurred.  Family interviewed also confirmed they were informed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have occurred six-weekly.  Residents and family confirmed that they find the meetings useful and provide opportunities to raise issues or concerns.  Residents and family interviewed confirmed that the managers have an open-door policy and resolve concerns proactively.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through the district health board with phone numbers identified in policy.  There are staff on site who speak a range of languages. There are no residents currently requiring the use of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Jack Inglis Care Home is certified to provide rest home, dementia, and hospital levels of care in their care facility for up to 77 residents.  On the day of the audit, there were 67 residents requiring care including 36 at rest home level including one under an ACC contract and three requiring respite level of care; 21 requiring hospital level of care; and 10 residents in the 10-bed dementia unit.  All rest home and hospital beds are dual purpose.  One resident requiring hospital level of care is under 65 years of age and under a young person with disabilities contract.  All other residents unless already identified are under the Age-Related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is responsible for the leadership and operational management of the service.  The CEO reports to the Trust board four to six weekly.  The CEO has been in the position for just over two years, is a registered nurse with post grad and business management qualifications.  The chief executive officer has past experience in management including over 20 years working in health management/leadership at an executive level (service director and initial set up of an integrated health centre, manager of rural hospitals, and CEO roles in primary care and PHO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worked in aged care for over 13 years and has been in the role for two years.  The clinical manager is supported by two clinical leaders.  One has been in the role for five years and has a postgraduate diploma in nursing, specialising in gerontology.  The second clinical nurse leader has been in the role for four years, has a postgraduate certificate in palliative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have attended at least eight hours of training relevant to their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Strategic planning takes place with the board members and chief executive officer with input from others as required.  An external consultant led the planning for the current business and strategic plan with this reviewed by the board at board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CEO provides overall leadership and management of the service.  The clinical manager relieves the chief executive officer if on leave.  The clinical leaders and the CEO are responsible for the clinical functions of the facility if the clinical manager is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organisation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A document control process is well established.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for the service was last completed in September 2020 with 13 respondents.  There is a high level of satisfaction and 86% stated that they would recommend the service to friends or 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schedules for training, meetings, and audit requirements for the year.  The meeting schedule includes monthly staff and quality (including infection control) meetings.  There are six weekly resident and family meetings and a daily hub meeting to touch base for staff and managers.  Health and safety is a part of each meeting and the hub meetings.  There is a monthly clinical meeting attended by the clinical manager, clinical nurse leaders and the 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with evidence of resolution of issues as these are identified.  Monthly and annual analysis of results is completed and provided to staff and to the board.  There are monthly accident/incident reports that break down the data collected across the different levels of care.  Infection control is also included as part of benchmarking across the organisation.  Health and safety internal audits are completed.  Improvements are made as a result of analysis and discussion of data.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health and safety and risk management programme in place including policies to guide practice.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training completed by staff as part of orientation (staff records confirmed that these had been completed).  Falls prevention strategies are in place that include the analysis of falls incidents and the identification of interventions on a case-by-case basis to minimise future falls.  Two of the four health and safety representatives were interviewed, and they could describe their role as per legislation and policy.  Staff were able to give examples of where improvements had been made after issues had been raised.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a number of improvements in the service since the last audit.  They include improvements in the organisational culture, improvement in the quality of care provided for residents, the development of an engaged and effective leadership team, role specific training and mentoring, a review of the ‘House Rules’ to a ‘Code of Conduct’ and elimination of the need for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being collected and analysed.  A review of 26 incident/accident forms that occurred in 2021 identified they were all fully completed, including follow-up by a registered nurse (clinical manager or clinical nurse leader) and that family had been notified.  Neurological observations were taken as per policy for 15 unwitnessed falls reviewed with a post-falls assessment completed for each.  Near misses are also reported through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management team confirmed that there is an awareness of the requirement to notify relevant authorities in relation to essential notifications.  There have been six section 31 notifications required since the last audit all in relation to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Ten staff files (one CEO, clinical manager, two registered nurses, clinical nurse leader, two caregivers, cook, DT, maintenance staff) were reviewed and all had relevant documentation relating to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Performance appraisals have been completed annually.  Copies of annual practising certificates are on file and a review confirmed that these were current, including RNs and external providers requiring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The orientation programme includes a buddy system with the new staff member working alongside an experienced care staff member for five days.  Care staff complete competencies as part of orientation relevant to their role.  One new staff interviewed confirmed that they had a relevant and comprehensive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in place.  The 2020 and 2021 education plans have been implemented to date and staff stated that the training is relevant to their role.  A competency programme is in place with different requirements according to work type (e.g., caregivers, RNs, and kitchen).  Core competencies are completed, with a record of completion maintained.  Staff interviewed were aware of the requirement to complete competency training.  The service has15 (including the clinical manager and clinical nurse leaders) with five interRAI trained.  The clinical nurse leaders are also trained in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caregivers who work in the dementia unit.  Eight who have completed level four dementia qualifications with one currently in training.  There are six others with dementia training and an activities coordinator.  Six caregivers have completed level three training and all others have completed level two training within their first year of employment. </w:t>
            </w:r>
          </w:p>
          <w:p w:rsidR="00EB7645" w:rsidRPr="00BE00C7" w:rsidP="00BE00C7">
            <w:pPr>
              <w:pStyle w:val="OutcomeDescription"/>
              <w:spacing w:before="120" w:after="120"/>
              <w:rPr>
                <w:rFonts w:cs="Arial"/>
                <w:b w:val="0"/>
                <w:lang w:eastAsia="en-NZ"/>
              </w:rPr>
            </w:pPr>
            <w:r w:rsidRPr="00BE00C7">
              <w:rPr>
                <w:rFonts w:cs="Arial"/>
                <w:b w:val="0"/>
                <w:lang w:eastAsia="en-NZ"/>
              </w:rPr>
              <w:t>RN turnover has stabilised over the past year with staff turnover reported to and monitored by the 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acuity of residents.  A staff availability list ensures that staff sickness and vacant shifts are covered, and a review of rosters for the past three months confirms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staffing levels are sufficient to meet the needs of residents.  The chief executive officer and clinical manager both work 40 hours per week from Monday to Friday and are available on call for any emergency issues or clinical support.  One clinical nurse leader provides clinical oversight and management of the dementia unit and is on duty 30 hours a week on day shift.  The second clinical nurse leader is focused on the hospital residents and works 40 hours a week.  The clinical nurse leader is replaced by a registered nurse on the days they are not there.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are two caregivers (long shift) on duty in the morning shift, two full shifts in the afternoon and one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 caregivers (all long shift) are designated as staff on the morning shift for hospital residents with three (long shift) on the afternoon and one overnight (15 hospital residents and 14 rest home residents).  Three caregivers (all long shift) are designated as staff on the morning shift for rest home residents with three (long shift) on the afternoon and one overnight (6 hospital residents and 22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registered nurse on duty on the morning and afternoon shifts for rest home residents and one registered nurse on duty on the morning and afternoon shifts for the hospital wing.  There is one registered nurse over the facility on night shift.  There are household assistants on seven days a week from 7.30 am to 2.30 pm who help with table setting and mealtimes.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caregivers in the casual pool, and they provide cover when staff are on leave.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24-hours of entry into each resident’s individual record.  An initial support plan is also developed in this time.  Personal resident information is kept confidential and cannot be viewed by other residents or members of the public.  Residents’ files are protected from unauthorised access by being held in a secure room.  Archived records are secure in separate locked areas with password protection for all electronic records.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 service integration.  Entries are legible, dated, timed,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The clinical manager and clinical nurse leaders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The service operates twenty-four hours a day, seven days a week.  Comprehensive information about the service is made available to referrers, potential residents, and their families.  Resident agreements contain all detail required under the Aged Residential Care Agreement.  The nine admission agreements reviewed meet the requirements of the ARCC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clinical manager or clinical nurse leaders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self-medicating on the day of audit, who had been assessed as competent to self-administer by the RN and GP.  The resident’s room was visited, and confirmation was obtained that the medications were stored securely.  All legal requirements had been met.  There are no standing orders in use and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blister pack system.  Medications are checked on arrival and any pharmacy errors recorded and fed back to the supplying pharmacy.  Registered nurses, enrolled nurses and senior caregivers administer medications, have up to date medication competencies and there has been medication education in the last year.  Registered nurses have syringe driver training completed by the hospice.  The medication fridges and room temperatures are checked daily.  Eye drops viewed in the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Eighteen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cook oversees the procurement of the food and management of the kitchen.  All meals are cooked on site.  The kitchen was observed to be clean and well organised, and a current approved food control plan was in evidence, expiring June 2021.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are noted on a kitchen whiteboard.  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All resident/families interviewed are happy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Initial interRAI assessments are evident for eight of nine resident files sampled (excluding respite resident) and six-monthly reviews had been carried out as per policy for those residents who had been in the service for six months or more.</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dietitian, wound care specialist and older person’s mental health team.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service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ongoing evaluations are in place for all wounds.  Wound monitoring occurred as planned and there are also photos to show wound progress.  Wounds included four chronic wounds, sixteen skin tears, two grade 3 pressure injuries (DHB acquired), three abrasions and seven classed as other (dermatitis, blisters).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behaviour and wounds.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one activities coordinator and an activities assistant covering seven days who plan and lead all activities.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in all areas with the dementia unit having its own seven-day activity calendar.  Residents have the choice of a variety of activities which are varied according to resident preference and need.  These include (but are not limited to) exercises, percussion sessions, crafts, games, quizzes, entertainers, pet therapy, bowls, and bingo.</w:t>
            </w:r>
          </w:p>
          <w:p w:rsidR="00EB7645" w:rsidRPr="00BE00C7" w:rsidP="00BE00C7">
            <w:pPr>
              <w:pStyle w:val="OutcomeDescription"/>
              <w:spacing w:before="120" w:after="120"/>
              <w:rPr>
                <w:rFonts w:cs="Arial"/>
                <w:b w:val="0"/>
                <w:lang w:eastAsia="en-NZ"/>
              </w:rPr>
            </w:pPr>
            <w:r w:rsidRPr="00BE00C7">
              <w:rPr>
                <w:rFonts w:cs="Arial"/>
                <w:b w:val="0"/>
                <w:lang w:eastAsia="en-NZ"/>
              </w:rPr>
              <w:t>The service highlights any activities that may not be suitable for those residents under 65 years of age and provides alternatives, although a younger resident has the opportunity to attend any activity according to their preference.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hand massage are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twice weekly outings including a supported shopping trip.  There are regular entertainers visiting the facility.  Special events like birthdays, Easter, Mothers’ Day and Anzac Day are celebrated.  There are visiting community groups such as cultural dance groups, churches,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of nine resident care plans reviewed (excluding the resident on respite and a relatively recent admission) had been evaluated by the registered nurses six-monthly or earlier if there was a change in health status.  Written evaluations are completed.  Activities plans are in place for each of the residents (including an individualised, age-appropriate plan for YPD resident)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clinical manager interviewed could describe the procedure for when a resident’s condition changes and the resident needs to be reassessed for a higher or different level of care.  Discussion with the clinical manager, clinical nurse leaders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September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August 2023.  The hoist and scales are checked annually and are next due to be checked July 2022.  Hot water temperatures have been monitored in resident areas and are within the acceptable range.  Flooring is safe and appropriate for residential care.  All corridors have safety rails and promote safe mobility with the use of mobility aids.  Residents were observed moving freely around the areas with mobility aids where required.  The external areas and decked areas are well maintained.  All external areas have shade and seating and are easily accessible to residents.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resident rooms have no ensuite toilet and six share an ensuite.  All other rooms have their own ensuite toilet and shower.  There are also sufficient communal toilets and showers.  Handrails are appropriately placed in ensuite bathrooms and communal showers and toilets.  There is ample space in toilet and shower areas to accommodate shower chairs and a hoist if appropriate.  Privacy is assured with the use of ensuites.  Communal toilet/shower/bathing facilities have a system that indicates if it is engaged or vacant.  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and the service also has a family room adjoining a palliative care room for whānau wanting to stay.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including large lounges in the hospital, dementia, and rest home areas.  Activities occur in all areas of the facility, with residents being assisted to activities in different areas if they require it.  There are sufficient lounges and private/quiet seating areas where residents who prefer quieter activities or visitors may sit.  The dining areas are spacious, inviting, and appropriate for the needs of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All laundry is done on site.  There are clearly defined clean and dirty areas and entry/exit.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manual available.  Cleaning and laundry services are monitored through the internal auditing system.  The cleaners’ equipment was attended at all times when in use and locked away at other times.  All chemicals on the cleaner’s trolley were labelled.  Residents and family interviewed reported satisfaction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The facility keeps sufficient emergency water for 3 litres per person, per day for more than 3 days for resident use on site.  The service has its own emergency generator in case of power outage.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Fire safety is completed with new staff as part of the health and safety induction and is ongoing.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show on a display panel and also give an audible alert.  Security policies and procedures are documented and implemented by staff.  The buildings are secure at night and there is security lighting externally.  A local security company checks external doors as part of a night patrol.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with staff and residents interviewed, stating that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and its content and detail are appropriate for the size, complexity and degree of risk associated with the service.  Staff are well-informed about infection control practises and reporting.  The infection control coordinator (clinical manager) is an RN who is responsible for infection control across the facility as detailed in the infection control coordinator job description (signed copy sighted on day of audit).  The coordinator oversees infection control for the facility, reviews incidents on the electronic resident management system and is responsible for the collation of monthly infection events and reports.  The facility management team are responsible for the development of, and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Covid sign in and declarations are mandatory for visitors and contractors.  Visitors are asked not to visit if they are unwell.  Residents are offered the influenza vaccine.  There has been one scabies outbreak since the last audit which was appropriately managed.</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donning/doffing and use of PPE.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Jack Inglis Friendship Hospital.  The infection control coordinator liaises with the quality/infection control committee who meet regularly and as required (more frequently during Covid lockdown).   Information is shared as part of staff meetings and also as part of the registered nurse meetings.  The infection control coordinator has completed annual training in infection control through the local DHB.</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external specialists, microbiologist, GP, wound nurse and DHB when required.  The GP and pharmacist monitor the use of antibiotics.  Overall effectiveness of the programme is monitored by the facility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the clinical manager, building upon a bought in system to make them site specific.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 education and ensuring staff attend education in-services.  Training on infection control is included in the orientation programme.  Staff have completed infection control education including Covid specific topics in the last 12 months.  The infection control coordinator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the purpose and methodology are described in the Jack Inglis Friendship Hospital surveillance policy.  The infection control coordinator uses the information obtained through surveillance to determine infection control activities, resources and education needs within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infection data is collected for all infections based on standard definitions as described in the surveillance policy.  Infection control data is monitored and evaluated monthly and annually.  Trends are identified, and analysed, and preventative measures put in place.  These, along with outcomes and actions are discussed at the registered nurse, staff, and infection control meetings.  Meeting minutes are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entered into the electronic database to facilitate trend analysis.  Corrective actions are established where trends are identified.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use of restraint is a clinical decision made by the registered nurse or manager in partnership with the GP.  The GP completes the verification section on the specific consent form and also records a note in the medical continuation notes outlining the rationale for verifying or not verifying the use of restraint.  The family will be involved in as many aspects of the decision as possible, and their input recorded on the assessment form and in the progress notes by the RN.  There were no residents using restraint or enablers on the day of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5"/>
        <w:gridCol w:w="1280"/>
        <w:gridCol w:w="6728"/>
        <w:gridCol w:w="2292"/>
        <w:gridCol w:w="13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1.1.4.2</w:t>
            </w:r>
          </w:p>
          <w:p w:rsidR="00EB7645" w:rsidRPr="00BE00C7" w:rsidP="00BE00C7">
            <w:pPr>
              <w:pStyle w:val="OutcomeDescription"/>
              <w:spacing w:before="120" w:after="120"/>
              <w:rPr>
                <w:rFonts w:cs="Arial"/>
                <w:b w:val="0"/>
                <w:lang w:eastAsia="en-NZ"/>
              </w:rPr>
            </w:pPr>
            <w:r w:rsidRPr="00BE00C7">
              <w:rPr>
                <w:rFonts w:cs="Arial"/>
                <w:b w:val="0"/>
                <w:lang w:eastAsia="en-NZ"/>
              </w:rPr>
              <w:t>Māori consumers have access to appropriate services, and barriers to access within the control of the organisation are identified and eliminated.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extensive links into the community including to the local Māori provider.  Māori family and residents interviewed stated that the service is culturally sensitive to their needs and this is documented in plans reviewed.  The Māori Hononga-Relationship Plan February 2019 - February 2022 is documented with board minutes confirming that the plan was presented to the board.  Some review of the plan has occurred in 2019 as sighted in meeting minutes reviewed.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Hononga-Relationship Plan February 2019 - February 2022 is documented, but to date there is no evidence of evaluation of progress against the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evaluation of progress to meeting the Māori Hononga-Relationship Plan is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37"/>
        <w:gridCol w:w="1280"/>
        <w:gridCol w:w="3923"/>
        <w:gridCol w:w="739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reviewed and upgraded equipment and infrastructure to improve services for residents, staff safety, injury prevention and improved ability for staff to spend quality time with residents.  Key improvements are as follows.  i) The service has provided evidence-based clinical care for a bariatric resident that has resulted in increased resident and staff safety, a reduction in pressure injuries and wounds, and improved quality of life.  ii) An electronic patient information system has been introduced that has decreased time taken by staff to document care and improved continuity of care and the service has changed electronic medication systems to accommodate external providers.  iii) The service is now restraint free following a review of equipment and practice.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improvements that have focused on providing evidence-based and best practice for residents in the service.  Examples of these are as follows.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 patient information system has been introduced and is now well used by all staff.  Care staff stated that there is more time to spend with residents and that information is integrated and user friendly.  The service has put in tablets throughout the facility that allow staff to document in real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now restraint free following a review of equipment and practice.  A plan has been implemented to initially reduce numbers of residents using restraint or enablers with lo beds purchased, an increase in sensor mats, through assessments around falls and behaviour and buy-in from family to the discussion process.  Staff can describe using interventions now when in the past they would have used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moved from one electronic medication system to another to accommodate external providers and to promote service integration with the multidisciplinary team.  This has improved links with primary care team and specialists at the district health board.  This has facilitated a uniform approach to medication management and reconciliation with offsite providers being able to see and make changes in real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individualising care to specific needs of the resident were sighted.  The service demonstrated that they respond to needs and often ‘go the extra mile’ to provide safe and appropriate care.  One resident felt unsafe and uncomfortable with equipment that was often broken and that caused injury.  They also had a poor quality of life.  The service has provided specialised equipment that included upgrading the hoist to accommodate the resident, provided custom made slings, and a customised bed.  They have strengthened the ceiling to take the weight of the hoist.  The mobility device has been reassessed and the external provider brought in to adjust settings that have improved safety for the resident and others.  Outcomes for this resident have been monitored with no pressure injuries or hospital admissions since the review and upgrade of equipment.  The resident and family praised the service for care and for going the extra mile to support them as a family with other family and residents interviewed confirming that their experiences were similar.  Care staff interviewed could describe cares as per the care plan for each resident and residents stated that they were encouraged to maintain their independence and community links with support from the activities team and external providers.  Family and residents also stated that they received care without prejudice or discrimination and were given the respect and dignity afforded to all clients.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FOMHT Health Services Limited - Jack Inglis Friendship Hospital</w:t>
    </w:r>
    <w:bookmarkEnd w:id="58"/>
    <w:r>
      <w:rPr>
        <w:rFonts w:cs="Arial"/>
        <w:sz w:val="16"/>
        <w:szCs w:val="20"/>
      </w:rPr>
      <w:tab/>
      <w:t xml:space="preserve">Date of Audit: </w:t>
    </w:r>
    <w:bookmarkStart w:id="59" w:name="AuditStartDate1"/>
    <w:r>
      <w:rPr>
        <w:rFonts w:cs="Arial"/>
        <w:sz w:val="16"/>
        <w:szCs w:val="20"/>
      </w:rPr>
      <w:t>4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