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Leighton House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Leighton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Leighton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May 2021</w:t>
      </w:r>
      <w:bookmarkEnd w:id="7"/>
      <w:r w:rsidRPr="009418D4">
        <w:rPr>
          <w:rFonts w:cs="Arial"/>
        </w:rPr>
        <w:tab/>
        <w:t xml:space="preserve">End date: </w:t>
      </w:r>
      <w:bookmarkStart w:id="8" w:name="AuditEndDate"/>
      <w:r w:rsidR="00A4268A">
        <w:rPr>
          <w:rFonts w:cs="Arial"/>
        </w:rPr>
        <w:t>12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Leighton House is operated by Dementia Care New Zealand (DCNZ).  The service provides care for up to 50 residents requiring rest home or hospital (medical and geriatric) level care.  On the day of the audit, there were 47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relatives, staff, management, and a nurse practitioner. </w:t>
      </w:r>
    </w:p>
    <w:p w:rsidRPr="00A4268A">
      <w:pPr>
        <w:spacing w:before="240" w:line="276" w:lineRule="auto"/>
        <w:rPr>
          <w:rFonts w:eastAsia="Calibri"/>
        </w:rPr>
      </w:pPr>
      <w:r w:rsidRPr="00A4268A">
        <w:rPr>
          <w:rFonts w:eastAsia="Calibri"/>
        </w:rPr>
        <w:t xml:space="preserve">The service is managed by an operations manager and a clinical manager (registered nurse).  The on-site team is supported by DCNZ management team including a national clinical manager and the managing director who supported the service during the audit and the quality system manager and education coordinator.   </w:t>
      </w:r>
    </w:p>
    <w:p w:rsidRPr="00A4268A">
      <w:pPr>
        <w:spacing w:before="240" w:line="276" w:lineRule="auto"/>
        <w:rPr>
          <w:rFonts w:eastAsia="Calibri"/>
        </w:rPr>
      </w:pPr>
      <w:r w:rsidRPr="00A4268A">
        <w:rPr>
          <w:rFonts w:eastAsia="Calibri"/>
        </w:rPr>
        <w:t>Residents, relatives, and the nurse practitioner (NP) interviewed spoke positively about the service provided.</w:t>
      </w:r>
    </w:p>
    <w:p w:rsidRPr="00A4268A">
      <w:pPr>
        <w:spacing w:before="240" w:line="276" w:lineRule="auto"/>
        <w:rPr>
          <w:rFonts w:eastAsia="Calibri"/>
        </w:rPr>
      </w:pPr>
      <w:r w:rsidRPr="00A4268A">
        <w:rPr>
          <w:rFonts w:eastAsia="Calibri"/>
        </w:rPr>
        <w:t xml:space="preserve">Shortfalls identified during the audit related to the quality programme, completion of neurological observations following an unwitnessed fall, documentation of interventions and involvement of family in care planning, and to documentation of allergy status. </w:t>
      </w:r>
    </w:p>
    <w:p w:rsidRPr="00A4268A">
      <w:pPr>
        <w:spacing w:before="240" w:line="276" w:lineRule="auto"/>
        <w:rPr>
          <w:rFonts w:eastAsia="Calibri"/>
        </w:rPr>
      </w:pPr>
      <w:r w:rsidRPr="00A4268A">
        <w:rPr>
          <w:rFonts w:eastAsia="Calibri"/>
        </w:rPr>
        <w:t xml:space="preserve">Two ratings of continuous improvement have been given to the cultural support provided to Māori residents and to the surveillance of infections.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with complaints responded to in a timely manner.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Dementia Care New Zealand provides oversight and support to the service.  Services are planned to meet the needs of the residents.  Goals are documented for the service with evidence of regular reviews.  There is a documented quality and risk management programme.  Meetings are held to discuss quality and risk management processes.  Residents/family meetings have been held and residents and families are surveyed regularly.  Health and safety policies, systems and processes are implemented to manage risk.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An orientation programme is in place for new staff.  An education and training plan is being implemented and includes in-service education and competency assessments.  Registered nursing cover is provided 24 hours a day, seven days a week.  </w:t>
      </w:r>
    </w:p>
    <w:p w:rsidRPr="00A4268A">
      <w:pPr>
        <w:spacing w:before="240" w:line="276" w:lineRule="auto"/>
        <w:rPr>
          <w:rFonts w:eastAsia="Calibri"/>
        </w:rPr>
      </w:pPr>
      <w:r w:rsidRPr="00A4268A">
        <w:rPr>
          <w:rFonts w:eastAsia="Calibri"/>
        </w:rPr>
        <w:t xml:space="preserve">The resident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welcome package and information available before or on entry to the service.  Registered nurses are responsible for all stages of provision of care including assessments, care plans and evaluation of care.  Care plans are based on the interRAI outcomes and other assessments.  Residents and family interviewed confirmed they were involved in the care planning and review process.  </w:t>
      </w:r>
    </w:p>
    <w:p w:rsidRPr="00A4268A" w:rsidP="00621629">
      <w:pPr>
        <w:spacing w:before="240" w:line="276" w:lineRule="auto"/>
        <w:rPr>
          <w:rFonts w:eastAsia="Calibri"/>
        </w:rPr>
      </w:pPr>
      <w:r w:rsidRPr="00A4268A">
        <w:rPr>
          <w:rFonts w:eastAsia="Calibri"/>
        </w:rPr>
        <w:t xml:space="preserve">The activity team involve residents and volunteers in the implementation of the integrated activity programme.  The programme is varied and interesting and meets the abilities of residents. </w:t>
      </w:r>
    </w:p>
    <w:p w:rsidRPr="00A4268A" w:rsidP="00621629">
      <w:pPr>
        <w:spacing w:before="240" w:line="276" w:lineRule="auto"/>
        <w:rPr>
          <w:rFonts w:eastAsia="Calibri"/>
        </w:rPr>
      </w:pPr>
      <w:r w:rsidRPr="00A4268A">
        <w:rPr>
          <w:rFonts w:eastAsia="Calibri"/>
        </w:rPr>
        <w:t xml:space="preserve">Staff who administer medications have had education around medication management and completed a competency assessment.  General practitioners review residents at least three monthly or more frequently if needed.  </w:t>
      </w:r>
    </w:p>
    <w:p w:rsidRPr="00A4268A" w:rsidP="00621629">
      <w:pPr>
        <w:spacing w:before="240" w:line="276" w:lineRule="auto"/>
        <w:rPr>
          <w:rFonts w:eastAsia="Calibri"/>
        </w:rPr>
      </w:pPr>
      <w:r w:rsidRPr="00A4268A">
        <w:rPr>
          <w:rFonts w:eastAsia="Calibri"/>
        </w:rPr>
        <w:t xml:space="preserve">Meals are prepared on site.  The menu is varied and appropriate.  Individual and special dietary needs are catered for.  Alternative options are able to be provided.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an approved evacuation scheme and emergency supplies for at least three days.  A first aider is on duty at all times.   </w:t>
      </w:r>
    </w:p>
    <w:p w:rsidRPr="00A4268A">
      <w:pPr>
        <w:spacing w:before="240" w:line="276" w:lineRule="auto"/>
        <w:rPr>
          <w:rFonts w:eastAsia="Calibri"/>
        </w:rPr>
      </w:pPr>
      <w:r w:rsidRPr="00A4268A">
        <w:rPr>
          <w:rFonts w:eastAsia="Calibri"/>
        </w:rPr>
        <w:t xml:space="preserve">All rooms are single and personalised.  The environment is warm and comfortable.  There is adequate room for residents to move freely about the home using mobility aids.  Communal areas are well utilised for group and individual activity.  The dining room and lounge seating placement encourages social interaction.  Other outdoor areas and decks are safe and accessible for the residents.  </w:t>
      </w:r>
    </w:p>
    <w:p w:rsidRPr="00A4268A">
      <w:pPr>
        <w:spacing w:before="240" w:line="276" w:lineRule="auto"/>
        <w:rPr>
          <w:rFonts w:eastAsia="Calibri"/>
        </w:rPr>
      </w:pPr>
      <w:r w:rsidRPr="00A4268A">
        <w:rPr>
          <w:rFonts w:eastAsia="Calibri"/>
        </w:rPr>
        <w:t xml:space="preserve">There is adequate equipment for the safe delivery of care.  All equipment is well maintained and on a planned schedule.  All chemicals are stored safely.  Home assistants carry out laundry and cleaning duties and maintain a tidy and clean environment.     </w:t>
      </w:r>
    </w:p>
    <w:p w:rsidRPr="00A4268A">
      <w:pPr>
        <w:spacing w:before="240" w:line="276" w:lineRule="auto"/>
        <w:rPr>
          <w:rFonts w:eastAsia="Calibri"/>
        </w:rPr>
      </w:pPr>
      <w:r w:rsidRPr="00A4268A">
        <w:rPr>
          <w:rFonts w:eastAsia="Calibri"/>
        </w:rPr>
        <w:t xml:space="preserve">Policies and procedures to manage an emergency were able to be described by staff.  Equipment is stored on site to be used in the event of an emergency.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and management of challenging behaviour.  One restraint and no enablers were in use during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nurse (registered nurse) is responsible for coordinating the infection control programme and providing education and training for staff.  The infection control manual outlines the scope of the programme and includes a comprehensive range of policies and guidelines.  Information is obtained through surveillance to determine infection control activities.  Two outbreaks have been well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99"/>
        <w:gridCol w:w="1280"/>
        <w:gridCol w:w="97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staff (six caregivers, two registered nurses (RN), two activities coordinators, one maintenance staff, two home assistants, one cook, one operations manager and one clinical manager) confirmed their familiarity with the Code.  Interviews with 13 residents (10 rest home and three hospital), and five families (three rest home and two hospital) confirmed the services being provided are in line with the Code.  The Code is discussed at resident, staff, and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Code of Rights training including advocacy, informed consent, privacy and prevention of neglect and abuse, are part of the mandatory training days that staff undertake which are facilitated each year to ensure all staff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relating to informed consent, resuscitation, and advanced directives.  All resident files reviewed (three hospital and four rest home) included signed informed consent forms (including photograph for identification and marketing) and resuscitation status appropriately signed.  Advanced directive instructions where available were on the resident file.  Care staff could describe the informed consent process as it related to delivering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agreements were sighted which were signed by the resident or nominated representative.  The admission agreement also includes permissions granted. Discussion with residents and families identified that the service actively involves them in decision making.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National Health and Disability Advocacy Service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  Each complainant is offered advocacy services as part of the response/acknowledgement of the complaint.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by encouraging their attendance at functions and events.  The service provides assistance to ensure that the residents are able to participate in as much as they can safely and desire to do.  They have also created ongoing relationships with community groups that visit the facility.  Resident meetings are held monthly.  The service has maintained communication with family during the Covid-19 pandemic that included keeping the family informed about their relative and activities held at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Information about complaints is provided on admission.  Interview with residents and relatives confirmed an understanding of the complaints process.  There is an up-to-date complaint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complaints in 2020 and two in 2021 to date. All four complaints reviewed included a letter to the complainant acknowledging the complaint, investigation and follow up with the complainant to explain the result of the investigation.  All responses occurred in a timely manner as per the Code and policies.   Management operate an open-door policy and all residents and family stated that they would inform the manager/s of any concerns and all felt that their concerns would be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Issues raised through complaints are addressed individually, however the themes, recommendations and improvements do not link to the quality programme (link 1.2.3.5).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operations manager or clinical manager discusses the information pack with the resident and the family/whānau.  The information pack incudes a copy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and staff interviewed as part of the audit confirmed their understanding of the Code and they were able to describe how they informed family and residents of this on a regular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treated with dignity and respect.  Discussions with residents and relatives are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2020.  Staff were observed respecting resident’s privacy and could describe how they manage maintaining privacy and respect of personal property.  All residents interviewed stated their needs are met.  Privacy is ensured, and independence is encouraged.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spiritual care.  Church services are conducted weekly.  All residents interviewed indicated that their spiritual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around identification of and management of abuse and/or neglect.  Staff have received training annually around this and when interviewed, were able to describe what to look for and that they need to report and how to manage any incident.  A review of incident forms for 2021 did not identify any incidents of abuse or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who identified as Māori living at the facility.  Two records were reviewed for residents who identify as Māori.  All had cultural needs identified as part of the assessment and the care plan identified specific activities and support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links to the local marae.  Māori consultation is available through the documented iwi links and Māori staff who are employed by the service.  There are 50% of staff that identify as Māori including the operations manager who provides leadership for the service.  Staff identify with different iwi including Ngāti Porou.  Staff receive education on cultural awareness during their induction to the service and as a regular in-service topic.  All care staff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includes activities that reflect Māori.  Guests to the service include a kapa haka/performer and teacher of traditional Māori dance, a teacher and carver/ kaumātua who carves and displays art work with teachings around tikanga, purakau and stories of Tairāwhiti, and a raranga/weaver and tutor of Māori medicine.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Residents and relatives interviewed confirmed they were involved in developing the resident plan of care, which included the identification of individual values and beliefs.  All care plans reviewed included the resident’s spiritual and cultural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and RNs supervise staff to ensure professional practice is maintained in the service.  The abuse and neglect processes cover harassment and exploitation.  All residents interviewed reported that the staff respect them.  Job descriptions include responsibilities of the position, ethics, advocacy, and legal issues.  The orientation and employee agreement provided to staff on induction includes standards of conduct.  Interviews with caregivers confirmed their understanding of professional boundaries, including the boundaries of the healthcare assistant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boundaries are reconfirmed through education and training sessions, and staff meetings and performance management if there is an issue with the person concerned.  Caregivers are trained to provide a supportive relationship based on sense of trust, security, and self-esteem.  Interviews with care staff confirmed that they understood how to build a supportive relationship with each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Registered nursing staff are available 7 days a week, 24 hours a day.  There are a number of GPs caring for the residents at Leighton house.  Each resident identifies which general practitioner (GP) they choose to have visit and the nurse practitioner visits the facility on a twice weekly basis.  Some GPs provide an after-hours service and an after-hours’ service is provided at the local public hospital for others.  The GP or nurse practitioner reviews residents identified as stable every three months, with more frequent visits for those residents whose condition is not deemed stable.  The nurse practitioner interviewed was satisfied with the level of care that is being provided.</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which includes nurse specialists’ visits.  A physiotherapist is contracted to be on site for 1.5 - 2 hours per week.  A dietitian is available for consultations.  There is a regular in-service education and training programme for staff.  A podiatrist is on site every six weeks.  The service has links with the local community and encourages residents to remain independent.  Leighton House is benchmarked against other DCNZ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DCNZ management team provide oversight and support for clinical aspects of care, operational management and for education.  DCNZ Management team including the national clinical manager, quality systems manager, education coordinator and managing director visit the site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stated they were welcomed on entry and given time and explanation about the levels of care provided and services and procedures.  There is documented evidence of full and frank open disclosure regarding changes to their relative’s health including incident/accidents, medication changes, GP visits and infections.  Relatives interviewed confirmed that they are notified of any changes in their family member’s health status.  Resident meetings are held monthly, and family are able to attend.  There are no residents requiring access to an interpreter, however the manager was able to describe how they could be accessed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New Zealand (DCNZ) is the parent company for Leighton House with nine sites in total.  The DCNZ team includes senior managers and others who provide support both on site and in real time via phone.  The service provides care for up to 50 residents requiring hospital, (medical and geriatric) and rest home level care.  There are 25 dual-purpose beds.  On the day of the audit there were 47 residents (13 at hospital level care and 34 at rest home level care).  There were no residents under the medical component.  All residents were under the aged care contract.  </w:t>
            </w:r>
          </w:p>
          <w:p w:rsidR="00EB7645" w:rsidRPr="00BE00C7" w:rsidP="00BE00C7">
            <w:pPr>
              <w:pStyle w:val="OutcomeDescription"/>
              <w:spacing w:before="120" w:after="120"/>
              <w:rPr>
                <w:rFonts w:cs="Arial"/>
                <w:b w:val="0"/>
                <w:lang w:eastAsia="en-NZ"/>
              </w:rPr>
            </w:pPr>
            <w:r w:rsidRPr="00BE00C7">
              <w:rPr>
                <w:rFonts w:cs="Arial"/>
                <w:b w:val="0"/>
                <w:lang w:eastAsia="en-NZ"/>
              </w:rPr>
              <w:t>There is a strong focus within the organisation to promote independence, to value the lives of residents and staff and this is supported by the vision and values statement of the organisation.  DCNZ has an organisational 2020-2021 business/strategic plan.  The business plan is regularly reviewed with the operations manager confirming that they are also involved.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(RN) has been in the role for two years and is supported by and reports to the national clinical manager who was present to support the clinical manager on the day of audit.  The clinical manager has 15 years’ experience in aged care and has held past roles in education and quality management with previous experience as clinical manager in district nursing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 (non-clinical) of Leighton House has been in the role since August 2013.  The operations manager reports to the operational management leader at DCNZ.  The operational manager is supported by an organisational quality systems manager, education coordinator, and owners/directors.  The operations manager and clinical manager have attended at least eight hours of professional development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operations manager, the clinical manager covers the operations manager’s role.  The national clinical manager provides oversight to the senior registered nurse appointed to cover for the clinical manager if they are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that includes quality goals and risk management plans for Leighton House.  The quality programme is managed by the operations manager and clinical manager.  A quality systems manager for the organisation oversees the quality programme ensuring the programme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at the DCNZ office with input from managers at the sites.  Policies and procedures have been updated to include reference to the reviewed Privacy Act 2020.  New policies or changes to policy are communicated to staff, evidenced in meeting minutes.  Staff are expected to sign that they have read the new/revised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Clinical indicators are reviewed including a review of incidents and accidents.  The complaints programme is not integrated into the quality programme currently.  An internal audit schedule has been documented with audits completed in 2021.  The operations manager completes environmental and non-clinical audits.  The clinical manager undertakes all clinical audits.  The operational audits have been completed in a timely manner with corrective action plans documented and evidence of resolution of issues in a timely manner.  Clinical audits, while completed, do not have corrective action plans documented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that there is discussion about quality data at various facility meetings including monthly health and safety meetings, resident/family meetings, infection control meetings, quality meetings and clinical meetings.  Staff meetings are also held and there are clinical and operational bulletins put out monthly that include analysis of data and a full report on clinical and operational status of the service.  There is documented evidence in meeting minutes of quality data, trends, and analysis apart from complaints which is not linked to the quality programme.  Minutes and the staff monthly bulletin (displayed on the staff noticeboard) contain topical information and quality data.  Organisational policies meet all current requirements and are reviewed at DCNZ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surveys are completed with the April 2021 survey showing a high level of overall satisfaction from residents and family.  Of the 30 respondents, 85% stated that they would recommend the service.  Results would be discussed at the next resident meetings.  Results of the 2020 surveys were discussed at the resident meetings and the results of the 2021 survey are on the agenda for the meeting in May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committee which meet monthly.  The two health and safety representatives interviewed were able to describe their role.  All committee members and staff have completed health and safety education annually.  Health and safety objectives for 2021 are known by staff.  Hazards are documented and resolved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Equipment is provided including hip protectors, sensor mats, high-low beds, fall out mattresses, bed loops to assist mobility, and residents are encouraged to attend exercises programmes.  RNs focus on managing pain and care staff ensure that the call bell is within reach with this was observed to be in place during the audit.  There is a multidisciplinary meeting when required for residents identified as having frequent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An online incident/accident register is maintained.  The clinical manager investigates clinical incidents, accidents and near misses and analysis of incident trends occurs.  There is a discussion of incidents/accidents at quality improvement and clinical meetings including actions to minimise recurrence.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audit, 29 incident forms were reviewed.  Of these, 22 were for residents who had an unwitnessed fall with 12 showing that neurological observations were completed as per policy (link 1.3.6.1).  All incident forms reviewed demonstrated that an investigation had occurred following an incident.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operation’s manager and clinical manager confirmed that there is an awareness of the requirement to notify relevant authorities in relation to essential notifications and were able to provide examples.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This includes that the recruitment and staff selection process require that relevant checks be completed to validate the individual’s qualifications, experience, and veracity.  Current practising certificates were sighted.  Seven staff files were reviewed (one clinical manager, one operations manager, two registered nurses, one healthcare assistant, one activities coordinator and one cook) and there was evidence that reference checks and police vetting were completed before employment for those employed after ownership by Dementia Care NZ.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Completed orientation was evidenced and staff described the orientation programme.  The in-service education programme for 2020 was mostly completed noting that the pandemic stopped some sessions, but introduced others related to managing in the Covid-19 environment, and 2021 training has been completed as per schedule.  There is good attendance at training.  Annual staff appraisals were evident in all staff files reviewed for those who have been with the service over twelve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registered nurses are able to attend external training, including sessions provided by the local DHB when these are offered.  Of the 19 caregivers employed, there are seven staff who have completed level 4 Careerforce, nine that have completed level 3 (plus one in training), and one that has completed level 2.  There are 16 staff who have completed first aid training.  The organisation has an education coordinator who provides support and advice.  There is a clinical manager and one registered nurse who have completed interRAI training.  The service is working to get another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Rosters implement the staffing rationale.  Leighton House roster identifies there is sufficient staffing cover for the safe provision of care for rest home and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single storey with staff rostered over the wings.  Wings include the administration wing (nine beds with nine occupied including two rest home and seven hospital; east wing (11 beds with nine occupied including five rest home and four hospital); garden wing (11 beds with 10 occupied – all rest home); river wing - eight beds with eight occupied – all rest home; north wing (11 beds with 11 occupied – nine rest home and two hospital).  Hospital residents are clustered together to ensure sufficient staff are on each shift and administration wing is nearest the nurses’ station with the greatest number and highest acuity of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Staff are rostered as follows: six caregivers morning shift (three long and three short from 7 am to 12.30 pm); six caregivers in the afternoon shift with three long and three short shift (5 pm to 9 pm); two caregivers overnight.  There is a home assistant rostered on each shift including nights who do household work (e.g.: laundry and cleaning, but not care work). There is 24/7 registered nurse cover.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visible, available and attend to call bells in a timely manner as confirmed by all residents and relatives interviewed.  Staff interviewed stated that overall the staffing levels are satisfactory and that the managers provide good support.  Residents and relatives interviewed reported there are sufficient staff numbers.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by being held securely in the nurses’ stations.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 staff.  Individual resident files demonstrated service integration with only medication charts held on the electronic medication management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pack outlining services able to be provided, the admission process and entry to the service.  The clinical manager screens all potential residents prior to entry.  Residents and relatives interviewed confirmed they had the opportunity to discuss the admission agreement with the operations manager.  The admission agreement form in use aligns with the requirements of the Age-Related Care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The service ensures transfer of information occurs.  Relatives are notified prior to a transfer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All medicines were stored safely in the main medication room. Registered nurses and senior care givers complete medication competencies (including oxygen therapy and insulin administration) to administer medicines and competency is renewed annually.  Only the RNs administer ‘as required’ medications.  Registered nurses complete syringe driver competency.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robotically packed medication management system for the packaging of all tablets.  The registered nurse on duty reconciles the delivery and documents this on the first 24 hours of medication sachets.  The electronic medication identifies the pack has been checked in.  There is impress stock of medications including antibiotics which are checked regularly for stock levels and expiry dates.  The medication fridge is monitored with daily records within the acceptable range.  There is an extractor fan in the medication room with daily records below 25 degrees Celsius.  Eyedrops in use are dated on opening in the two trolleys.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medication charting is utilised for prescribing and administering medications.  Fourteen medication charts were reviewed, and all had photograph identification, however not all  medication charts had an allergy status documented.  There is evidence of three-monthly medication reviews by the GP.  ‘As required’ medications had indications for use with the effectiveness documented in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cooked on site and delivered in (hot boxes) to the two smaller homes kitchenettes for serving in the dining rooms.  The main kitchen is adjacent to the main dining room.  The service employs qualified cooks (6.45 am to 5 pm) to cover the seven-day week.  Homecare assistants assist with serving meals, dishes, and kitchenette cleaning.  All staff have completed food safety training.  The four weekly rotating menu is reviewed biannually by a organisationally appointed dietitian.  The menu includes mince/moist, pureed options and diabetic desserts.  The cook receives a dietary profile for each resident is notified of any dietary changes.  Food allergies and dislikes are accommodated.  Gluten-free meals are provided.  Traditional Māori foods are on the menu including boil ups and fried bread.  Lip plates are available to help promote independence with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verified food control plan in place which expires 23 March 2022.  The temperatures of refrigerators, freezers, inward goods, and cooked foods are monitored and recorded.  The chemical supplier monitors the effectiveness the chemicals and function of the dishwasher monthly.  All food is stored appropriately, dated and labelled.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The cooks receive feedback from resident meetings and survey results.  Residents and the family members interviewed were satisfied with the quality and variety of food 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accepting/declining entry to service policies.  The referral agency and potential resident and/or family member would be informed of the reason for declining entry.  Reasons for declining entry would be if there are no beds available or the service cannot provide the level of care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long-term resident files reviewed identified that an initial assessment and risk assessments had been completed on admission.  The interRAI initial assessments and reviews are evident in printed format in all resident files.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reflect the outcomes of assessments and describe the resident goals and supports required to meet desired goals in four of seven long-term care plans reviewed.  There is a 24-hour multidisciplinary care plan completed that describes the resident’s normal routine, habits or behaviours over the morning, afternoon, and nights.  There are additional support plans developed as required.  Short-term care plans are developed following a change in health, evaluated regularly, and added to long-term care plans if an ongoing problem.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on interview they are involved in the care planning and review process, however there is no documented evidence of resident/relative involvement in the seven of the long-term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allied health care professionals involved in the care of the resident such as physiotherapist, dietitian, continence nurse, podiatrist, cardiologist, mental health services and ophthalmologist.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 givers follow the care plan and report progress against the care plan at handover and in the written progress notes.  When a resident’s condition changes the RN initiates a NP or GP visit.  If external nursing or allied health advice is required, the RNs will initiate a referral to the appropriate nurse specialist or service.  There was documented evidence of relative notification for resident changes to health status such as infections, accident/incidents, medication changes, allied health professional visits including the NP/GP.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wound assessments, wound management plans and regular wound evaluations for 14 residents with wounds (skin tears, moisture lesions and two pressure injuries).  Both pressure injuries of hospital level residents were stage 2 (one facility acquired, and one community acquired).  Documentation had not been completed for one (facility acquired) stage 2 pressure injury.  The RNs have access to the district nursing service for wound care management advice if required.  There is sufficient pressure relieving resources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medical supplies (e.g., dressings).  Continence products are available and resident files include a continence assessment and plan as part of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are in use for bowel monitoring, hygiene cares, toileting charts, food and fluid intake, output charts, pain, weight, half-hourly checks, repositioning and neurological observations, however not all  neurological observations were completed as per protocol.  There were no implemented or documented interventions for one rest home resident with unintentional weight loss.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two activity coordinators who are currently progressing through their diversional therapy (DT) qualifications.  There is currently a vacancy for the third activity coordinator.  There are currently two activity coordinators on each day of the week (one 8.30 am-4 pm and one 9 am to midday) except Sunday when there is one on duty.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integrated activity programme is planned around meaningful everyday activities and special events.  Each resident receives a copy of the monthly programme.  The programme is flexible, and residents are encouraged to be involved and lead some activities as able.  One resident showed his record collection and player and took the activity himself which has now become a regular activity on the programme.  There are volunteers involved in the programme who assist with activities and one-on-one time with residents and reading to residents.  Activities include (but are not limited to); arts and crafts related to special events, art on the deck, word games, story time, baking, mobile library, pampering, newspaper reading, drawing and happy hour.  The residents have their own garden area set up on one of the decks.  The activity team make daily contact with residents and offer activities and one-on-one time with residents who choose not to join in group activities.  The activity coordinators have initiated allocated visiting time with hospital level residents which includes pampering hands and nails, chats/discussions, reading and activities.  These are recorded on a weekly activity sheet for each individual hospital level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entertainers, church services, pet therapy and visiting dogs and early childhood centre.  A recent initiative has been set up with the early childhood centre to adopt a nanny or papa.  An art teacher taught a group of residents’ art and drawing.  There are monthly van outings into the community.  The Sunshine bus or maxi-taxi is used for wheelchair access.  The activity coordinators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 ‘my profile’ is completed on admission in consultation with the resident/family (as appropriate).  The activities documentation in the resident files reviewed reflected the specific requirements of each resident.  Residents interviewed evidenced that the activity programme had a focus on maintaining independence and providing meaningful activities.  In the files reviewed the activities plans had been reviewed six-monthly at the same time as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evaluate all initial care plans within three weeks of admission and long-term care plans at least six monthly or earlier if there are significant changes to health.  Files reviewed demonstrated that the long-term care plan was evaluated by the RN six monthly, however there was no documented evidence of relative/resident input onto the evaluation (link 1.3.5.3).  Relatives interviewed confirmed they had been involved in the MDT (multidisciplinary) review and informed of any changes/supports required to meet the resident goals.  The GP/NP completes 3/12 reviews or sooner if required.  Short-term care plans sighted were evaluated and resolved or added to the long-term care plan if the problem is ongoing, as sighted in resident files reviewed.  Where progress is different from expected outcomes,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RNs initiate referrals to nurse specialists and allied health services.  Other specialist referrals are made by the GPs or the nurse practitioner.  Referrals and options for care are discussed with the family as evidenced in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the disposal of waste and hazardous material.  There is an accident/incident system for the investigating, recording, and reporting of all incidents.  Chemical supplies are kept safely throughout the facility.  The contracted supplier provides the chemicals, safety data sheets, wall charts and chemical safety training as required.  Approved containers are used for the safe disposal of sharps.  Personal protective equipment (PPE) is readily available to staff and in the sluice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 March 2022.  The operations manager oversees the daily requests for repairs which are logged into a maintenance book and signed off as completed.  Larger repairs require authorisation from the managing director.  There is a planned maintenance plan in place which includes two yearly testing and tagging of electrical equipment, functional checks and calibrations of resident related equipment and weekly random checks of resident area hot water temperatures.  Water temperatures were sighted to be below 45 degrees Celsius.  Local contractors are available 24 hours.  Resident rooms are refurbished as they become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adequate internal space to meet their needs and can safely mobilise with mobility aids or transported in hospital lounge chairs.  External areas including large grounds and gardens with mature trees, decked areas, seating and shade are safe to access and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staff interviewed stated they have sufficient equipment to safely carry out the cares outlined in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rooms with ensuites, shared bathrooms and hand basins.  .  There are adequate communal showers and toilets in each of the three “wings”.  One of the bathroom/shower rooms is large enough to accommodate a tilting shower chair or trolley if needed.  There are vacant/occupied signs, privacy locks and shower curtains in place.  Residents interviewed stated care staff respect their privacy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and of a size which allows enough space for residents to mobilise with or without assistance in a safe manner.  Rooms can be personalised with furnishings, photos and other personal adornments as sighted during the tour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number of lounge/dining areas that are used for activities.  There are seating alcoves and a large conservatory that overlooks the river.  All internal communal areas are easily accessed by residents and staff.  Residents are able to choose where they wish to sit or dine and are able to access areas for privacy, if required.  The outdoor areas can be safely accessed.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linen and personal clothing is laundered on site.  The laundry has a clearly defined clean/dirty flow.  There are two assistants on duty each day who assist with breakfasts, then commence laundry and cleaning duties seven days a week.  A homecare assistant operates the laundry from 7.30 am – 1 pm and 4.30 pm – 8 pm.  There is an exit door to an area of deck for line drying.  A new washing machine and dryer have been purchased since the last audit.  All equipment is serviced.  Adequate linen supplies were sighted.  Chemicals are stored in a locked chemical room which also stores the cleaning trolley when not in use.  There is a mixing oasis chemical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homecare assistants interviewed demonstrated knowledge of processes for laundering, cleaning, safe use of chemicals and outbreak management isolation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response and civil defence plan to guide staff in managing emergencies and disasters.  Emergency response and first aid is included in the mandatory in-service training programme.  There is a first aid trained staff member on every shift.  Staff records sampled evidenced current training regarding fire, emergency, and security education.  There is a letter from New Zealand Fire Service reviewed dated 9 April 2002, advising approval of the fire evacuation scheme.  The last trial evacuation was held in 2021 with the previous training provided six months prior.  </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is readily available for service providers and residents.  There are two fully stocked civil defence kits.  There is a gas barbeque should the mains gas supply fail.  The service has adequate stored water including water tanks for an emergency.  There is a call bell system that is easily used by the resident or staff to summon assistance if required.  Call bells are accessible, within easy reach and are available in resident areas including bedrooms, ensuite toilet/s, the lounge and dining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and communal rooms have external windows allowing adequate natural light.  Some resident rooms open out onto the decks.  The facility is heated with radiator heating and underfloor heating and kept at a comfortable temperature.  Residents and relatives interviewed confirmed the environment and the bedrooms are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Leighton House has an established infection control (IC) programme that is implemented.  The infection control programme is appropriate for the size, complexity and degree of risk associated with the service and is linked into the quality system.  A registered nurse is the designated infection control nurse who has been in the role two months and is supported by the clinical manager and national clinical manager.  The IC team (RN, care staff, laundry, kitchen, and activity representatives) meet monthly.  Minutes are available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plan and goals are reviewed monthly and annually.  Leighton House has a specific goal for 2021 to reduce urinary tract infections (UTI).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Covid-19screening and declarations are in place.  There are hand sanitisers placed throughout the facility. Residents and staff are offered the influenza vaccine annually and Covid-19 vaccinations.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Leighton House.  The infection control (IC) nurse has access to expertise within the organisation and supported by the clinical manager.  The infection control committee is representative of the facility.  External resources and support are available when required including support and advice from the DHB, GPs and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defines roles, responsibilities and oversight, the infection control team, training and education of staff and scope of the programme.  Policies are available on the intranet.  All Covid-19 information released by the MOH was printed off and made available to staff.  The clinical manager had weekly zoom meetings with DCNZ, and the service was updated with outbreak management measures and alert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the ongoing education of staff and residents.  All infection control training has been documented and a record of attendance has been maintained. All newly appointed staff complete infection control orientation and annually as part of the education plan.  During Covid-19 lockdown staff were kept informed by daily meetings.  Competencies were completed for donning and doffing of personal protective equipment and handwashing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visitors that are appropriate to their needs and safety.  Families were kept informed during lockdown of the policies and procedures around alert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nurse collates the number of infections monthly and uses the information obtained through surveillance to determine infection control activities, resources, and education needs.  Infection control data is reported at the various facility meetings and to DCNZ where benchmarking occurs.  Monthly data is analysed for trends and areas for improvement.  Internal infection control audits also assist the service in evaluating infection control needs.  The GP and the service monitor the use of antibiotics.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had a suspected respiratory tract outbreak in July 2020 and a rhinovirus outbreak in April 2021.  The initial five residents with symptoms of rhinovirus had Covid-19 swabs taken which were confirmed negative.  In both outbreaks the facility was in lockdown and the Public Health informed.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policy in place that states the organisations’ philosophy to restraint minimisation.  The philosophy is to be restraint free, however the service will use restraint if there is a need for resident safety.  There is a documented definition of restraint and enablers, which is congruent with the definition in NZS 8134.0.  Currently the service has one resident requiring the use of a restraint (tray table) and no residents use an enabler.  Staff have training around restraint, enablers, and management of challenging behaviour annually with training records indicating that this has occurred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for the facility is the clinical manager (registered nurse) who has defined responsibilities included in their job description.  The restraint coordinator was able to describe their role in provision of education, monitoring of restraint use and implementation of the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assessments are based on information in the care plan, family and/or enduring power of attorney discussions (with resident input if possible) and on observations of the staff and service delivery.  A restraint assessment tool is completed for residents requiring an approved restraint.  Ongoing consultation with the resident and family was also identified.  .  A restraint assessment form was completed for the one resident requiring restraint (reviewed as part of the audit).  The assessment considered the requirements as listed in criterion 2.2.2.1 (a) - (h) and identified the specific interventions or strategies that had been tried prior to the assessment for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Monitoring and observation is included in the restraint policy.  The restraint coordinator is responsible for ensuring all restraint documentation is completed.  The approval process includes ensuring the environment is appropriate and safe.  Restraint authorisation is in consultation with the resident (as appropriate), family/whānau, GP/NP and the restraint coordinator.  Each episode of restraint is monitored at pre-determined intervals depending on individual risk to that resident.  Restraint use is used as a last resort in-keeping with the restraint minimisation policy.  A restraint register is established and this records information to provide an auditable record of restraint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 reviewed requiring the use of a restraint, evidenced that consent was obtained on consultation with the family member with this signed by the family member, restraint coordinator and nurse practitioner.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actively reviews restraint as part of the internal audit and reporting cycle.  Audits are completed six-monthly.  Reviews are completed by the restraint coordinator.  Any adverse outcomes are reported at the monthly clinical meetings and quality meetings.  A organisational review of the restraint minimisation and safe practice process occurs six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actively reviews restraint as part of the internal audit and reporting cycle.  Audits are completed six-monthly.  Reviews are completed by the restraint coordinator.  Any adverse outcomes are reported at the monthly clinical meetings and quality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98"/>
        <w:gridCol w:w="1280"/>
        <w:gridCol w:w="4903"/>
        <w:gridCol w:w="2819"/>
        <w:gridCol w:w="25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the quality programme are included in the meetings apart from complaints.  Three of four complaints in 2020 and 2021 were not tabled or discussed at meetings or documented through the staff bulletins.  The theme of one of four complaints reviewed was documented in the quality bulletin as a complaint, however there was no discussion of improvements that could be made for the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not linked to the quality programme in order for improvements to be made.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Link complaints into the quality programme so that improvements can be made.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with an annual schedule is in place.  Audits that relate to the operational manager include corrective action plans and evidence of resolution of issues.  Clinical audits have been completed in a timely manner; however corrective action plans have not been raised for those completed since January 2021 until May 2021.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and evidence or resolution of issues identified through clinical audits have not been completed in a timely manner for those completed in 2021.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 corrective action plans for clinical audits in a timely manner, and evidence resolution of issues.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charts on the electronic system met prescribing requirements for regular and ‘as required’ medications.  Medication charts are reviewed at least three monthly.  Photo identification is on all charts, however not all  charts had an allergy status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14 medication charts did not record an allergy status.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medication charts identify an allergy status.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reflected the outcomes of assessments and document supports/interventions in four of the seven care plans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documented interventions for three rest home residents; (a) one resident with back pain requiring ‘as required’ analgesia and GP reviews, (b) management of seizures for resident with a recent admission for grand mal seizure and (c) there was no diabetic management plan for a resident on insulin.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supports/interventions are documented to support the resident’s current health status.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1.3.5.3</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demonstrate service integration.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Residents/relatives interviewed confirmed they were involved in the development and evaluation of care plans, however there was no documented evidence of resident/relative input in the seven care plans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documented evidence the resident/relative had been involved in the development and evaluation of long-term care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is documented evidence of resident/relative involvement in care planning.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identified wounds including two pressure injuries had a wound assessment plan in place, but one pressure injury was not linked to the care plan and there was no accident/incident form completed.  Residents with unwitnessed falls were assessed by RNs in a timely manner and commenced on neurological observations, however not all neurological observations had been completed as per policy.  All residents had monthly observations including a monthly weigh but there were no implemented or documented interventions for one resident with unintentional weight loss.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The presence of a stage 2 facility acquired pressure injury (rest home resident) had not been reported on an accident/incident form and was not linked to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 Ten of twenty-two neurological observations commenced for unwitnessed falls had not been completed as per protocol for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 There were no implemented or documented interventions in place for one rest home resident with over 5% weight loss in one month.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Ensure pressure injuries are reported on an accident/incident form and are documented into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  Ensure neurological observations are completed as per protocol for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  Ensure interventions are implemented/documented for unintentional weight loss.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43"/>
        <w:gridCol w:w="1280"/>
        <w:gridCol w:w="3839"/>
        <w:gridCol w:w="61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1.1.4.2</w:t>
            </w:r>
          </w:p>
          <w:p w:rsidR="00EB7645" w:rsidRPr="00BE00C7" w:rsidP="00BE00C7">
            <w:pPr>
              <w:pStyle w:val="OutcomeDescription"/>
              <w:spacing w:before="120" w:after="120"/>
              <w:rPr>
                <w:rFonts w:cs="Arial"/>
                <w:b w:val="0"/>
                <w:lang w:eastAsia="en-NZ"/>
              </w:rPr>
            </w:pPr>
            <w:r w:rsidRPr="00BE00C7">
              <w:rPr>
                <w:rFonts w:cs="Arial"/>
                <w:b w:val="0"/>
                <w:lang w:eastAsia="en-NZ"/>
              </w:rPr>
              <w:t>Māori consumers have access to appropriate services, and barriers to access within the control of the organisation are identified and eliminated.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and staff have worked to improve satisfaction with cultural values and beliefs following a low level of satisfaction expressed in the 2020 resident survey.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links to the local marae.  Māori consultation is available through the documented iwi links and Māori staff who are employed by the service.  There are 50% of staff that identify as Māori including the operations manager who provides leadership for the service.  Staff identify with different iwi including Ngāti Porou.  Staff receive education on cultural awareness during their induction to the service and as a regular in-service topic.  All care staff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includes activities that reflect Māori.  Guests to the service include a kapa haka/performer and teacher of traditional Māori dance, a teacher and carver/ kaumātua who carves and displays art work with teachings around tikanga, purakau and stories of Tairāwhiti, and a raranga/weaver and tutor of Māori medicine.  Food services have been improved to include traditional food prepared as a celebration by residents on Waitangi Day with other food such as boil ups added on a regular basis to the menu.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satisfaction survey completed in 2020 showed that only 50% of respondents strongly agreed that their cultural values and beliefs were being met.  A corrective action plan was put in place.  As a result, admissions of residents who identify as Māori or Pacific Island have increased by 25% from 2020 to January 2021.  The satisfaction survey completed in April 2021 showed that 80% of respondents were very satisfied with cultural activities with all others (bar one) stating that they were satisfied that their cultural values and beliefs had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infection monitoring policy.  Monthly infection data is collected for all infections based on signs and symptoms of infection.  All infections are individually logged monthly.  The data has been monitored and evaluated monthly and annually and is benchmarked internally.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implemented the following strategies around reducing the incidents of urinary tract infections (UTIs) that included: (a) education on the importance of hydration; (b) education session presented by a microbiologist at clinical managers’ conference on the prevention and management of UTIs; (c) introduction of extra fluid rounds in warmer weather and (d) establishing a toileting regime that meets individual resident’s needs.  As a result of the strategies implemented, the facility has remained below the organisational target range of 1.51 UTIs per 1000 bed nights at 1.36 over a twelve-month period.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Leighton House Limited</w:t>
    </w:r>
    <w:bookmarkEnd w:id="58"/>
    <w:r>
      <w:rPr>
        <w:rFonts w:cs="Arial"/>
        <w:sz w:val="16"/>
        <w:szCs w:val="20"/>
      </w:rPr>
      <w:tab/>
      <w:t xml:space="preserve">Date of Audit: </w:t>
    </w:r>
    <w:bookmarkStart w:id="59" w:name="AuditStartDate1"/>
    <w:r>
      <w:rPr>
        <w:rFonts w:cs="Arial"/>
        <w:sz w:val="16"/>
        <w:szCs w:val="20"/>
      </w:rPr>
      <w:t>11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