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Inglewood Welfare Society Incorporated - Marinoto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Inglewood Welfare Society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Marinoto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April 2021</w:t>
      </w:r>
      <w:bookmarkEnd w:id="7"/>
      <w:r w:rsidRPr="009418D4">
        <w:rPr>
          <w:rFonts w:cs="Arial"/>
        </w:rPr>
        <w:tab/>
        <w:t xml:space="preserve">End date: </w:t>
      </w:r>
      <w:bookmarkStart w:id="8" w:name="AuditEndDate"/>
      <w:r w:rsidR="00A4268A">
        <w:rPr>
          <w:rFonts w:cs="Arial"/>
        </w:rPr>
        <w:t>28 April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Marinoto rest home is a charitable trust governed by a trust board.  Marinoto provides rest home and hospital level care for up to 32 residents.  On the day of the audit there were 27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  </w:t>
      </w:r>
    </w:p>
    <w:p w:rsidRPr="00A4268A">
      <w:pPr>
        <w:spacing w:before="240" w:line="276" w:lineRule="auto"/>
        <w:rPr>
          <w:rFonts w:eastAsia="Calibri"/>
        </w:rPr>
      </w:pPr>
      <w:r w:rsidRPr="00A4268A">
        <w:rPr>
          <w:rFonts w:eastAsia="Calibri"/>
        </w:rPr>
        <w:t xml:space="preserve">The clinical/facility manager (registered nurse) has been in the role nine months and is supported by a team of registered nurses and long-serving staff.  The Trust Board Chairman and board members are actively involved in the operations of Marinoto rest home. </w:t>
      </w:r>
    </w:p>
    <w:p w:rsidRPr="00A4268A">
      <w:pPr>
        <w:spacing w:before="240" w:line="276" w:lineRule="auto"/>
        <w:rPr>
          <w:rFonts w:eastAsia="Calibri"/>
        </w:rPr>
      </w:pPr>
      <w:r w:rsidRPr="00A4268A">
        <w:rPr>
          <w:rFonts w:eastAsia="Calibri"/>
        </w:rPr>
        <w:t>Residents and family interviewed complimented very positively on the care and services they receive.</w:t>
      </w:r>
    </w:p>
    <w:p w:rsidRPr="00A4268A">
      <w:pPr>
        <w:spacing w:before="240" w:line="276" w:lineRule="auto"/>
        <w:rPr>
          <w:rFonts w:eastAsia="Calibri"/>
        </w:rPr>
      </w:pPr>
      <w:r w:rsidRPr="00A4268A">
        <w:rPr>
          <w:rFonts w:eastAsia="Calibri"/>
        </w:rPr>
        <w:t xml:space="preserve">This certification audit identified areas for improvement around aspects of the quality system, education, implementation of care and aspects of medication management.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adheres to the Health and Disability Commissioner’s Code of Health and Disability Consumers’ Rights (the Code).  The personal privacy and values of residents are respected.  There is an established Māori health plan in place.  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are able to visit residents at times that meet their needs.  Examples of good practice were provided.  There is an established system for the management of complaints, which meets guidelines established by the Health and Disability Commissioner.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The facility manager is responsible for day-to-day operations.  There is a documented quality system.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is in place for new staff.  There is an education plan documented.</w:t>
      </w:r>
    </w:p>
    <w:p w:rsidRPr="00A4268A">
      <w:pPr>
        <w:spacing w:before="240" w:line="276" w:lineRule="auto"/>
        <w:rPr>
          <w:rFonts w:eastAsia="Calibri"/>
        </w:rPr>
      </w:pPr>
      <w:r w:rsidRPr="00A4268A">
        <w:rPr>
          <w:rFonts w:eastAsia="Calibri"/>
        </w:rPr>
        <w:t xml:space="preserve">Registered nursing cover is provided 24 hours a day, 7 days a week.  Residents and families reported that staffing levels are adequate to meet the needs of the residents.  </w:t>
      </w:r>
    </w:p>
    <w:p w:rsidRPr="00A4268A">
      <w:pPr>
        <w:spacing w:before="240" w:line="276" w:lineRule="auto"/>
        <w:rPr>
          <w:rFonts w:eastAsia="Calibri"/>
        </w:rPr>
      </w:pPr>
      <w:r w:rsidRPr="00A4268A">
        <w:rPr>
          <w:rFonts w:eastAsia="Calibri"/>
        </w:rPr>
        <w:t>The integrated residents’ files are appropriate to the service type.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Residents/relatives confirmed the admission process, and the admission agreement was discussed with them on or prior to admission.  The registered nurse is responsible for each stage of service provision.  The assessments, care plans and evaluations are completed within required timeframes.  The GP reviews the resident at least three-monthly.  There is involvement of allied health professionals in the care of residents.    </w:t>
      </w:r>
    </w:p>
    <w:p w:rsidRPr="00A4268A" w:rsidP="00621629">
      <w:pPr>
        <w:spacing w:before="240" w:line="276" w:lineRule="auto"/>
        <w:rPr>
          <w:rFonts w:eastAsia="Calibri"/>
        </w:rPr>
      </w:pPr>
      <w:r w:rsidRPr="00A4268A">
        <w:rPr>
          <w:rFonts w:eastAsia="Calibri"/>
        </w:rPr>
        <w:t xml:space="preserve">An activity coordinator is employed five days a week.  The activities offered reflect the residents physical and cognitive abilities of the residents.  Individual and group recreational preferences are accommodated.  Community links are maintained.    </w:t>
      </w:r>
    </w:p>
    <w:p w:rsidRPr="00A4268A" w:rsidP="00621629">
      <w:pPr>
        <w:spacing w:before="240" w:line="276" w:lineRule="auto"/>
        <w:rPr>
          <w:rFonts w:eastAsia="Calibri"/>
        </w:rPr>
      </w:pPr>
      <w:r w:rsidRPr="00A4268A">
        <w:rPr>
          <w:rFonts w:eastAsia="Calibri"/>
        </w:rPr>
        <w:t xml:space="preserve">Medication education and competencies are completed annually for the registered nurses and healthcare assistants responsible for administration of medicines.  Medication policies reflect legislative requirements and guidelines.   </w:t>
      </w:r>
    </w:p>
    <w:p w:rsidRPr="00A4268A" w:rsidP="00621629">
      <w:pPr>
        <w:spacing w:before="240" w:line="276" w:lineRule="auto"/>
        <w:rPr>
          <w:rFonts w:eastAsia="Calibri"/>
        </w:rPr>
      </w:pPr>
      <w:r w:rsidRPr="00A4268A">
        <w:rPr>
          <w:rFonts w:eastAsia="Calibri"/>
        </w:rPr>
        <w:t xml:space="preserve">All meals are prepared on site.  Resident’s individual food preferences, dislikes and dietary requirements are met.  There is a dietitian review of the four-weekly menu.  The cooks and kitchenhands are trained in food safety and hygiene.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planned maintenance programme in place.  Staff have enough equipment to carry out resident cares safely.  There is a mix of ensuite resident rooms and communal toilets/showers.  All rooms are spacious and personalised.  There are communal lounges and dining areas that are easily accessible.  Cleaning and laundry are completed by dedicated staff seven days a week.  Policies and procedures are in place for essential, emergency and security services, with adequate supplies should a disaster occur.  There is staff on duty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regularly receive training around restraint minimisation and the management of challenging behaviour.  The service has appropriate procedures and documents for the safe assessment, planning, monitoring and review of restraint and enablers.  A register is maintained by the restraint coordinator who is a registered nurse.  No residents were using restraints and no residents were using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FF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Some standards applicable to this service partially attained and of low risk.</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clinical team leader/registered nurse has responsibility for infection control across the service.  The infection control coordinator coordinates education and training for staff.  There is a suite of infection control policies and guidelines to support practice.  Information obtained through surveillance is used to determine infection control activities and education needs within the facility.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39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86"/>
        <w:gridCol w:w="1280"/>
        <w:gridCol w:w="87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Families and residents are provided with information on admission which includes information about the Health and Disability Commissioner’s (HDC) Code of Health and Disability Consumers’ Rights (the Code).  Staff receive training about resident rights at orientation and as part of the annual in-service programme.  Interviews with two board members and the facility manager and eight staff (three healthcare assistants (HCA) two registered nurses (RN), one clinical lead/RN, one cook and one diversional therapist) reflected their understanding of the Code with examples provided of how it is applicable to their job role and responsibilities.  Five residents (four rest home and one hospital level) and two relatives interviewed of hospital level residents, confirmed that staff respect their privacy and support residents in making choices.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families are provided with all relevant information on admission.  Discussions are held with the resident and their representative regarding informed consent, choice and options regarding clinical and non-clinical services.  Written general consents including outings and photographs were sighted in the six resident files reviewed (two hospital level including one short-term ACC respite and four rest home including one respite care resident).  Resuscitation forms were appropriately signed by the resident and general practitioner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Signed admission agreements sighted also gives permission granted for release of medical information.    </w:t>
              <w:br/>
              <w:t xml:space="preserve">Discussion with residents and relatives identified that the service actively involves them in decisions that affect the lives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provided opportunities for the family/enduring power of attorney (EPOA) to be involved in decisions.  The resident files include information on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Visitors were observed coming and going during the audit.  The activities programme includes opportunities to attend events outside of the facility.  Residents are supported and encouraged to remain involved in the community.  Relatives and friends are encouraged to be involved with the service and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made available at reception.  Information about complaints is also provided on admission.  Interviews with residents and families confirmed their understanding of the complaints process.  The facility manager was able to describe the process around reporting complaints, which complies with requirements of the Health and Disability Commissioner (HDC).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complaints were registered in 2020 and none 2021 (year-to-date).  The two complaints reflected evidence of acknowledgement, a comprehensive investigation and communication with the complainant within the timeframes determined by HDC.  Staff are kept informed in meetings,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There was one health and disability commissioner complaint around a complaint from a senior nurse regarding another senior nurse at the service (one has now left the service and the other was leaving the day after the audit) the nursing council has also been informed.  The service has sent all requested information to the commissioner.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information pack given to prospective residents and families that includes information about the Code and their right to make a complaint.  There is the opportunity to discuss aspects of the Code during the admission process.  Residents and relatives interviewed confirmed that information is provided to them about the Code.  Large print posters of the Code in English and in te reo Māori, are displayed in visible locations.  The facility manager or the clinical manager discusses the information pack with residents/relatives on admission.  Families and residents are informed of the scope of services and any liability for payment for items not included in the scope.  This is included in the service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tour of the premises confirmed there are areas that support personal privacy for residents.  Resident rooms are large with ample room for visitors.  Staff were observed to be respectful of residents’ privacy by knocking on doors prior to entering resident rooms.  Residents and relatives interviewed confirmed that staff treat residents with respect.</w:t>
            </w:r>
          </w:p>
          <w:p w:rsidR="00EB7645" w:rsidRPr="00BE00C7" w:rsidP="00BE00C7">
            <w:pPr>
              <w:pStyle w:val="OutcomeDescription"/>
              <w:spacing w:before="120" w:after="120"/>
              <w:rPr>
                <w:rFonts w:cs="Arial"/>
                <w:b w:val="0"/>
                <w:lang w:eastAsia="en-NZ"/>
              </w:rPr>
            </w:pPr>
            <w:r w:rsidRPr="00BE00C7">
              <w:rPr>
                <w:rFonts w:cs="Arial"/>
                <w:b w:val="0"/>
                <w:lang w:eastAsia="en-NZ"/>
              </w:rPr>
              <w:t>Resident preferences are identified during the admission assessment and include family involvement.  Interviews with residents and family confirmed their values and beliefs were considered.  This was also evidenced in the residents’ files reviewed.  Healthcare assistants interviewed could describe how choice is incorporated into resident cares.  Training around abuse and neglect was provided April 2021, HCAs interviewed were able to discuss  the services policy of zero tolerance to abuse.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Māori health plan policy for the organisation references local Māori health care providers and provides recognition of Māori values and beliefs.  The service has established links with Tui Ora Ltd and Te Kohanga Marae.  There were no residents who identified as Māori on the days of audit.  Cultural training has not been provided since the last audit (link 1.2.7.5).</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Family/whānau involvement is encouraged in assessment and care planning and visiting is encouraged.  Cultural needs are assessed during the admission process and are addressed in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whānau as appropriate are invited to be involved.  Individual beliefs or values are discussed and incorporated into the care plan.  Six monthly multidisciplinary team meetings occur to assess if needs are being met.  Family is invited to attend.  Discussions with relatives confirmed that residents’ values and beliefs are considered.  Residents interviewed confirmed that staff take into account their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employment process includes the signing of house rules.  Job descriptions include responsibilities of the position and ethics, advocacy and legal issues.  The orientation programme provided to staff on induction includes an emphasis on privacy and personal boundaries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providing services of a high standard.  The facility manager and two board members interviewed described the family approach to care and how they aim to deliver a high standard of care.  This was observed during the day with the staff demonstrating a very caring attitude to the residents.  Residents interviewed stated they are very happy with the level of care provided.  Policies and procedures are developed by a contracted aged care consultant.  The policies and procedures meet legislative requirements.  There is a verbal and written handover for every shift that details any significant events.  A communication book is used to ensure staff are kept informed on daily matters.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made improvements since the previous audit including a new sensory garden, four new beds, a new syringe driver, and room renovations.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reporting policy to guide staff in their responsibility around open disclosure.  Staff are required to record family notification when entering an incident into the system.  The sample of adverse events reviewed met this requirement.  Family interviewed confirmed they are kept informed following a change of health status of their family member or an adverse event.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interpreter policy in place and contact details of interpreters are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Marinoto Rest Home is owned by the Inglewood Welfare Society Incorporated (board of six committee executives).  Marinoto Rest Home provides hospital (medical and geriatric) and rest home level care for up to 32 residents. There are 26 dual purpose beds (including the dual-purpose double room) and 6 rest home only beds.  On the day of the audit there were 27 residents in total.  There were 24 residents at rest home level and three at hospital level (including one ACC and one respite).  The remainder of residents were all under the age-related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facility manager/clinical manager (dual role), who is a registered nurse (RN) with a current practising certificate.  She has been in the role since July 2020 and is supported by an experienced clinical team leader.  The team leader was due to leave following the audit.  The service has recruited for a replacement.  The facility manager provides a monthly report to keep the Society up to date with progress (confirmed by two committee executives interviewed).  There are six committee executives who meet monthly and have the ability to co-opt to other members as required.  The facility manager reports directly to a board sub-committee and the board are available to the facility manager as required at other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business plan for 2021.  The business plan includes continued environmental refurbishment and raising staff confidence and competence.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has attended at least eight hours of professional development relating to her role, she has a master’s degree in nursing.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team leader covers during the temporary absence of the facility manager with additional support available from the board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Regular formal and informal reports to the board were evidenced.  The board members are very involved with the service ensuring good communication.</w:t>
            </w:r>
          </w:p>
          <w:p w:rsidR="00EB7645" w:rsidRPr="00BE00C7" w:rsidP="00BE00C7">
            <w:pPr>
              <w:pStyle w:val="OutcomeDescription"/>
              <w:spacing w:before="120" w:after="120"/>
              <w:rPr>
                <w:rFonts w:cs="Arial"/>
                <w:b w:val="0"/>
                <w:lang w:eastAsia="en-NZ"/>
              </w:rPr>
            </w:pPr>
            <w:r w:rsidRPr="00BE00C7">
              <w:rPr>
                <w:rFonts w:cs="Arial"/>
                <w:b w:val="0"/>
                <w:lang w:eastAsia="en-NZ"/>
              </w:rPr>
              <w:t>The service's policies are purchased from an external aged care contractor who publishes updates as needed.  Staff are informed regarding policy changes at meetings.  The quality system has not been fully implemented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There are a series of meetings scheduled including monthly staff meetings and monthly quality meetings.  Not all meetings documented that quality information was shared, however staff informed that they are fully informed regarding quality data.  Covid information was documented in meetings and through staff education.  The quality programme includes a comprehensive internal audit schedule, however not all audits had been completed and action plans not always documented where a shortfall was identified.</w:t>
            </w:r>
          </w:p>
          <w:p w:rsidR="00EB7645" w:rsidRPr="00BE00C7" w:rsidP="00BE00C7">
            <w:pPr>
              <w:pStyle w:val="OutcomeDescription"/>
              <w:spacing w:before="120" w:after="120"/>
              <w:rPr>
                <w:rFonts w:cs="Arial"/>
                <w:b w:val="0"/>
                <w:lang w:eastAsia="en-NZ"/>
              </w:rPr>
            </w:pPr>
            <w:r w:rsidRPr="00BE00C7">
              <w:rPr>
                <w:rFonts w:cs="Arial"/>
                <w:b w:val="0"/>
                <w:lang w:eastAsia="en-NZ"/>
              </w:rPr>
              <w:t>Incident and accident and infection control data is collated monthly, and a report documented, this report is available to the board and to staff on noticeboards; however,  missing is evidence of discussion at meetings.  Falls have reduced for April, medication errors have remained consistent at an average of three a month, medication errors are documented as followed up very well.</w:t>
            </w:r>
          </w:p>
          <w:p w:rsidR="00EB7645" w:rsidRPr="00BE00C7" w:rsidP="00BE00C7">
            <w:pPr>
              <w:pStyle w:val="OutcomeDescription"/>
              <w:spacing w:before="120" w:after="120"/>
              <w:rPr>
                <w:rFonts w:cs="Arial"/>
                <w:b w:val="0"/>
                <w:lang w:eastAsia="en-NZ"/>
              </w:rPr>
            </w:pPr>
            <w:r w:rsidRPr="00BE00C7">
              <w:rPr>
                <w:rFonts w:cs="Arial"/>
                <w:b w:val="0"/>
                <w:lang w:eastAsia="en-NZ"/>
              </w:rPr>
              <w:t>Annual resident surveys have been conducted, outcomes of meetings have been communicated to respondents and to staff.  The most recent survey results( April 2021) documented a high level of satisfaction across all areas including feeling consulted on care, meals, skilled staff,  feeling respected and  the cleanliness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are implemented.  The service administrator is the health and safety representative.  There are procedures to guide staff in managing clinical and non-clinical emergencies.  External contractors and new staff undergo health and safety training during their orientation.  There is an up to date hazard register.  Health and safety is a regular agenda item in the staff meetings but not always discussed (link also to 1.2.7.5 for training).</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including (but not limited to): sensor mats, increased monitoring for those residents at high risk of falling, and the identification and meeting of individual resident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incident/accident reporting policy that includes definitions and outlines responsibilities including immediate action, reporting, monitoring, corrective action to minimise and debriefing.  Individual incident/accident reports are completed for each incident/accident with immediate action noted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A review of ten incident/accident forms (skin tears, wandering resident, witnessed and unwitnessed falls) identified that the incident/accident forms were fully completed and include follow-up by a registered nurse.  Neurological observations that followed protocol were documented, however not all observations followed the protocol (link 1.3.6.1).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manager was able to identify situations that would be reported to statutory authorities.  There have been no outbreaks since the previous audit.  Section 31 reports have been completed for; a wandering resident (twice), a change of manager, a staff member who fell and fractured their arm and one for lack of available 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recruitment, selection, orientation and staff training and development.  Six staff files reviewed (two RNs, two HCAs one cook and one activities person) reflected evidence of reference checking, signed employment contracts and job descriptions, completed orientation programmes and annual performance appraisals.  The orientation programme provides new staff with relevant information for safe work practice.  Orientation is specific to the individual’s job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Current registered nursing staff and external health professionals (general practitioners, physiotherapist, pharmacists, podiatrist) practising certificates were sighted.</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and training plan that exceeds eight hours annually per staff member, however not all training has been provided over the last two years including health and safety, Treaty of Waitangi (or cultural care), informed consent and clinical assessment/care of a deteriorating resident (which was suggested by the GP). Competencies are completed.</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are supported to maintain their professional competency.  Four of nine registered nurses have completed their interRAI training.  Careerforce is supported, and a number of staff have completed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human resources policy determines staffing levels and skill mixes for safe service delivery.  A roster provides sufficient and appropriate coverage for the effective delivery of care and support.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clinical leader are rostered Monday to Friday and on call.  There is an RN and a trained first aider on each shift.  The activity staff also have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There is a senior HCA, plus two further HCAs on both the AM and the PM shift and there are two HCAs on duty at 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stated there were adequate staff on duty.  Staff stated they feel supported by the RNs.  The GP stated staffing was adequate.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needs assessment is required prior to entry for rest home or hospital level of care.  The facility manager or registered nurses (RN) are responsible for the screening of residents to ensure entry is appropriate.  Residents and relatives interviewed stated they received all relevant information prior or on admission and received a welcome booklet. </w:t>
            </w:r>
          </w:p>
          <w:p w:rsidR="00EB7645" w:rsidRPr="00BE00C7" w:rsidP="00BE00C7">
            <w:pPr>
              <w:pStyle w:val="OutcomeDescription"/>
              <w:spacing w:before="120" w:after="120"/>
              <w:rPr>
                <w:rFonts w:cs="Arial"/>
                <w:b w:val="0"/>
                <w:lang w:eastAsia="en-NZ"/>
              </w:rPr>
            </w:pPr>
            <w:r w:rsidRPr="00BE00C7">
              <w:rPr>
                <w:rFonts w:cs="Arial"/>
                <w:b w:val="0"/>
                <w:lang w:eastAsia="en-NZ"/>
              </w:rPr>
              <w:t>The admission agreement reviewed aligns with the ARC contract.  Exclusions from the service are included in the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(interviewed) described the transfer documentation that is sent with the resident for discharge and transfers.  Families were informed of transfers and encouraged to accompany the resident to hospital.  Follow-up occurs to check that the resident is settled, or in the case of death, communication with the family is made and documented.  A transfer for the respite care resident under non-weight bearing ACC contract had been arranged for admission to the rehabilitation ward at the DHB.  All relevant documentation was provided to the receiving provider.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Medications are stored safely in the medication room located in the hospital wing.  The service implemented an electronic medication system in March 2020.  The supplying pharmacy delivers the regular and ‘as required’ medication in robotic rolls for regular medications and blister packs for as required medications.  The RN on duty checks medications against the electronic medication charts and signs this as checked.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Senior healthcare assistants and RNs who administer medications have been assessed for competency on an annual basis.  Education around safe medication administration has been provided annually.  The RNs have completed syringe driver competencies and the service has purchased a syringe driver for palliative care residents as needed.  The medication fridge has daily temperature checks recorded.  The medication room air temperatures are taken and recorded daily.  Temperatures are within the acceptable limits.  There was no impress stock and no standing orders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procedure is in place for the self-administration of medicines.  On the day of audit there was one resident self-medicating with a self-medication competency completed for a nasal spray kept on their person.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electronic medications charts were reviewed.  All medication charts met prescribing requirements including indications for ‘as required’ medications.  All medication charts had photographic identification, but five charts did not have a documented allergy status.  Not all eyedrops sighted in use had been dated.  The GP/NP had reviewed the medication charts at least three-monthly.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Food service policies and procedures met the requirements of the food control plan.  The food control plan expires 25 June 2021.  The service provides a meals-on-wheels service to the community.  There is a qualified cook (chef with Bar 1 and 2 qualifications) Monday to Friday (7 am-2 pm) and a weekend cook.  They are supported by morning and afternoon kitchenhands.  Food services staff complete food safety orientation on employment and ongoing as part of the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The rotating four-week summer and winter menu have been reviewed by a dietitian and includes normal and soft/pureed meals.  The cook receives a dietary profile for each resident and is notified of any dietary changes.  Residents’ dislikes are accommodated.  Pureed meals are provided.  The kitchen is closely located to the main dining room.  Meals are cooked and placed in a bain marie which is transported to the dining room for the serving of meals.  The Tawa dining room has is a kitchenette with tea/coffee making facilities and fridge for fluids and provides an alternative dining area for residents who may require assistance/feeding.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daily food control plan of chiller, freezer and end cooked meat temperatures is completed as sighted.  Food stored in the fridge and chillers is covered and dated.  Dry goods and decanted, sauces and condiments are labelled with the re-filled and expiry dates.  A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Residents can feedback on the food services at the residents meeting.  Residents/relatives interviewed spoke positively about the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referral agency and potential resident and/or family member would be informed of the reason for declining entry.  The service policy for entry to services outlines the reasons for declining entry such as there are no beds available or where the acceptance of the admission could potentially affect other residents, or the home cannot provide the level of care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is responsible for completing initial assessments, relevant risk assessment tools and interRAI assessments for long-term residents.  Initial assessments had been completed within 24 hours of admission for all residents including the respite care and short-term ACC respite care residents.  Relevant risk assessment tools falls, pressure injury, continence, pain (link 1.3.6.1), nutritional and behaviour assessments.  Information gathered from the resident/relative, other health professionals and discharge/transfer documentation is used to form the basis of the care plans.  The outcomes and supports identified in assessments are reflected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initial assessment/support plan is completed within 24 hours in consultation with the resident/relative or support person.  The initial support plan and input from care staff and allied health professionals involved in the care of the resident is used to develop the long-term care plans.  Care plans are printed off the electronic resident management system and available in hard copy in the long-term resident files.  Care plans identify the resident goals and nursing interventions to provide required supports (link 1.3.6.1).  The long-term care plans reflect the interRAI assessment outcomes and triggers.   Healthcare assistants interviewed were knowledgeable regarding resident cares and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Allied health professionals involved in the resident care is reflected in the care plans with notes kept on file.  Missing was documented evidence of resident/family/whānau involvement in the care planning development and evaluation process in the four long-term resident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reported that residents’ individual needs were appropriately met, and they were kept informed of any changes to resident’s health status, including incident/accidents, infections, medication changes, health professional visits and GP visits.   Family/whānau/resident representative contact sheets were sighted in resident files and are maintained by the RN.  When a resident's condition alters, the RN initiates a GP, NP or nurse specialist review.  Healthcare assistants reported that they are informed of any changes in health status at handover, however not all interventions had been documented to guide staff in the care of residents needs/supports.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Wound management policies and procedures are in place.  Wound assessments and evaluations were in place for six residents with wounds including two abrasions, two chronic wounds, one abscess and one facility acquired stage 2 of the sacrum.  The pressure injury risk assessment had not been completed post development of a pressure injury.  The wound management plans (electronic) are available in each resident file and serve as the care plan for the wound.  There has been district nursing service involvement in a chronic wound.  There are adequate pressure relieving devices including air mattresses and cushions.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included a continence assessment where appropriate.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 charts and monitoring records available for use include pain, blood sugars, behaviour, food/fluid intake, turning charts, neurological observations, weight and bowel monitoring.  Not all monitoring had been implemented for identified pain, wandering resident or neurological observations post unwitnessed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(a level 3 HCA) has been in the role at Marinoto for five years and has almost completed the diversional therapy (DT) qualifications.  She attends the regional DT support group and is on the committee for the DT conference to be held this year in New Plymouth.  The activities coordinator works from 8.30 am to 3.30 pm Monday to Friday and coordinates and implements the rest home/hospital activity programme.  Volunteers are involved in entertainment, bowls (as observed on the day of audit) and one-on-one time with residents.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planned to reflect resident preferences, abilities and suggestions from the monthly resident meetings.  Residents receive copies of the activity programme.  Activities include (but not limited to); exercises, cards, board games, art and crafts, music, movies, bowls, knitting club and happy hour.  One-on-one time is spent with residents who choose not to or are unable to participate in group activities.  Community visitors include K9 friends, entertainers and church services.  There are inter-home visits (for bowls competitions) and outings into the community such as cafés and scenic drives.  An Ironside van (with wheelchair access) is hired for regular outings.  Festive occasions and birthdays are celebrated.</w:t>
            </w:r>
          </w:p>
          <w:p w:rsidR="00EB7645" w:rsidRPr="00BE00C7" w:rsidP="00BE00C7">
            <w:pPr>
              <w:pStyle w:val="OutcomeDescription"/>
              <w:spacing w:before="120" w:after="120"/>
              <w:rPr>
                <w:rFonts w:cs="Arial"/>
                <w:b w:val="0"/>
                <w:lang w:eastAsia="en-NZ"/>
              </w:rPr>
            </w:pPr>
            <w:r w:rsidRPr="00BE00C7">
              <w:rPr>
                <w:rFonts w:cs="Arial"/>
                <w:b w:val="0"/>
                <w:lang w:eastAsia="en-NZ"/>
              </w:rPr>
              <w:t>A resident social profile and cultural assessment is completed following admission and an individual activity plan developed.  Activity plans are reviewed six-monthly as part of the six-monthly MDT review.  Residents and relatives interviewed were positive about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Evaluation of care plans against resident goals is conducted by the RN with input from the GP, healthcare assistants and activities coordinator.  Families are notified of any changes in the resident’s ability to meet their desired goals, however there is no documented evidence of resident/relative involvement (link 1.3.5.3).  The long-term care plans are evaluated at least six-monthly for long-term residents.  There is at least a three-monthly review by the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reviewed.  The service facilitates access to other medical and non-medical services.  Referral documentation is maintained on resident files.  Examples of referrals sighted were to hospice, speech language therapist and respiratory clinical nurse specialist.  The respite care resident under non-weight bearing ACC contract was being supported to attend orthopaedic appointments at the rehabilitation ward at the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waste management policies and procedures for the safe disposal of waste and hazardous substances.  There is an incident reporting system that includes investigation of incidents.  There is a locked chemical store and cleaners’ room.  The sluice room with a sanitiser and a locked cupboard for chemical bottles is located in the hospital/dual purpose wing.  There is a sluice tub in the laundry which is located in the main rest home.  There was appropriate protective equipment and clothing available for staff.  Staff have attended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8 April 2022.  The responsibility for maintenance is overseen by the financial administrator who reports to board member (who is actively involved in the home maintenance, gardens and grounds).  Staff record requests for repairs in a maintenance request book that is checked daily and actioned.  There is a planned maintenance schedule in place that includes electrical testing, calibrations of clinical equipment and hot water testing.  Hot water testing has occurred as per schedule and any variances outside the acceptable range is reported to the board member.  Essential contractors are available 24 hours.  Refurbishment of the older existing rooms and hallways have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for residents to safely mobilise using mobility aids and communal areas are easily accessible.  There is safe access to the outdoor areas where seating and shade is provided.  The landscaping around the recently built wing has been completed and includes a sensory garden, raised garden beds and seating.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healthcare assistants interviewed stated they have sufficient equipment to safely deliver the cares as outlined in the residents’ care plans including hoists, pressure relieving equipment and a recently purchased bariatric wheelchair.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10 resident rooms in the newly opened Tawa wing.  Eight rooms have full ensuites.  One room has a toilet ensuite and one room is a standard room with a communal toilet/shower facility located close by.  The remaining rest home resident rooms have some with ensuites.  All other rooms have hand basins.  There are sufficient numbers of communal toilets and showers large enough to accommodate hospital level residents in dual purpose beds in the rest home.  There are privacy curtains and privacy locks in all shower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rooms are spacious enough to accommodate hospital level residents and transferring equipment in the designated dual-purpose rooms.  Residents can safely manoeuvre using mobility equipment in rest home rooms.  The bedroom doors are wide enough for the use of a hoist and for ambulance trolley access.  There is one double room for either rest home or hospital level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main lounge and conservatory in the rest home and a main dining area.  There is an open plan lounge and smaller dining room with kitchenette in the Tawa wing.   There is a family/whānau room with access to the deck area outside from the sliding doors.  The dining room kitchenette has tea/coffee making facilities for families.  There are seating nooks throughout the facility.  Activities take place in the dining rooms and lounges.  There is safe access to the gardens and grounds.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dedicated cleaner 9 am to 1 pm seven days a week.  The cleaner’s trolley is stored in the locked chemical room in the rest home area, when not in use.  The laundry has a defined clean and dirty area with entry and exit door.  All personal clothing and linen are laundered on site by a home assistant, seven days a week.  Care staff complete laundry duties such as ironing, as time permits on night shift.  A volunteer assists with folding laundry.  Personal protective equipment is available for cleaning and laundry duties.  The chemical provider monitors the chemical supply and effectiveness of cleaning and laundry processes and provides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fire evacuation scheme was approved 18 November 2019.   All staff have completed six monthly fire drills.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management plans in place to ensure health, civil defence and other emergencies are included.  There are sufficient civil defence and pandemic/outbreak supplies sighted.  Civil defence supplies held in a cupboard are checked monthly.  There is sufficient food for up to three days, held in the kitchen and second pantry.  There is electric and gas cooking in the kitchen with two gas barbeques and spare gas bottles available.  There is a 3,000-litre water tank installed under the new build (Tawa wing).  The automated system pumps tank water into the facility which is used by the services and the tanks refill with fresh water.  There is an onsite generator that is checked monthly by a contractor.      </w:t>
            </w:r>
          </w:p>
          <w:p w:rsidR="00EB7645" w:rsidRPr="00BE00C7" w:rsidP="00BE00C7">
            <w:pPr>
              <w:pStyle w:val="OutcomeDescription"/>
              <w:spacing w:before="120" w:after="120"/>
              <w:rPr>
                <w:rFonts w:cs="Arial"/>
                <w:b w:val="0"/>
                <w:lang w:eastAsia="en-NZ"/>
              </w:rPr>
            </w:pPr>
            <w:r w:rsidRPr="00BE00C7">
              <w:rPr>
                <w:rFonts w:cs="Arial"/>
                <w:b w:val="0"/>
                <w:lang w:eastAsia="en-NZ"/>
              </w:rPr>
              <w:t>There is at least one person on duty at all times with a current first aid certificate.  There are call bells in all resident rooms, ensuites and communal bathroom facilities.  There is an emergency call system.  The location of the calls is displayed on corridor lighting boards.  The call bell system is monitored 24 hours and the service completes monthly call bell audits.  The automatic doors are locked at night and all external doors are alarmed.  There is external lighting around the new wing and cameras in the corridors and lounge that can be viewed in the administration office.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natural light in all resident rooms and communal rooms.  Bedrooms have an external window and the communal dining room and family room in Tawa wing have doors that open to allow for ventilation.  There are a number of resident rooms that open out onto decks.  There is a gas fire in the lounge.  Central heating is sensor monitored and adjusted to maintain a comfortable environment throughout the facility.  There is night lighting in the corridors.  There are air conditioning and heat pump units installed.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The RN has responsibility for infection control which is described in the job description.  The infection control coordinator oversees infection control for the service and is responsible for the collation of infection events.  Review of the infection control programme has not been completed for the past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There is QR screening and a declaration register at the main entrance for visitors and contractors.  Hand sanitisers are appropriately placed throughout the facility.  Residents are offered the influenza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completed an infection control course prior to the appointment 18 months ago.  There is access to infection control expertise within the DHB, wound nurse specialist, district nurses and an external aged care consultant.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infection control policies developed by an aged care consultant.  The infection control manual includes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There are Covid-19 resources and DHB guidelines for the management of aged care facilities at all alert levels.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provides infection control orientation for newly appointed RNs, and care staff complete infection control orientation with their orientating “buddy”.  Infection control is included as part of the annual training schedule.  There has been additional education on Covid-19 protocols, personal protective equipment and isolation procedures for staff and residents.  Staff complete annual hand hygiene competencies.</w:t>
            </w:r>
          </w:p>
          <w:p w:rsidR="00EB7645" w:rsidRPr="00BE00C7" w:rsidP="00BE00C7">
            <w:pPr>
              <w:pStyle w:val="OutcomeDescription"/>
              <w:spacing w:before="120" w:after="120"/>
              <w:rPr>
                <w:rFonts w:cs="Arial"/>
                <w:b w:val="0"/>
                <w:lang w:eastAsia="en-NZ"/>
              </w:rPr>
            </w:pPr>
            <w:r w:rsidRPr="00BE00C7">
              <w:rPr>
                <w:rFonts w:cs="Arial"/>
                <w:b w:val="0"/>
                <w:lang w:eastAsia="en-NZ"/>
              </w:rPr>
              <w:t>Resident education is expected to occur as part of providing daily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The entering of data has recently commenced being entered into an electronic system that benchmarks infection events against industry standards.  Infection control data including trends and analyses is discussed at the monthly staff meeting, however there is inconsistent reporting of discussion of data in meeting minutes (link 1.2.3.6).  Infection rates are generally low.  The GP monitors the use of antibiotics.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There is sufficient personal protective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to the size and complexity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other de-escalation strategies have been ineffective.  Restraint minimisation policies and procedures are comprehensive and include definitions, processes and use of restraints and enablers.  The restraint coordinator is a 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restraint-free and there are no residents with enablers.</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in place around restraint minimisation and enablers, falls prevention and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95"/>
        <w:gridCol w:w="1280"/>
        <w:gridCol w:w="5349"/>
        <w:gridCol w:w="3465"/>
        <w:gridCol w:w="16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1.2.3.5</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shall be explicitly linked to the quality management system.</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quality system documented that includes linkages between different aspects of quality tasks and service delivery, however this has not been fully implemented.  Discussion with staff suggests an informal process of information sharing.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Not all internal audits have been completed according to the schedule.</w:t>
            </w:r>
          </w:p>
          <w:p w:rsidR="00EB7645" w:rsidRPr="00BE00C7" w:rsidP="00BE00C7">
            <w:pPr>
              <w:pStyle w:val="OutcomeDescription"/>
              <w:spacing w:before="120" w:after="120"/>
              <w:rPr>
                <w:rFonts w:cs="Arial"/>
                <w:b w:val="0"/>
                <w:lang w:eastAsia="en-NZ"/>
              </w:rPr>
            </w:pPr>
            <w:r w:rsidRPr="00BE00C7">
              <w:rPr>
                <w:rFonts w:cs="Arial"/>
                <w:b w:val="0"/>
                <w:lang w:eastAsia="en-NZ"/>
              </w:rPr>
              <w:t>(ii) Not all meetings document that quality information is shared and discussed, examples include lack of incident and accident data and analysis, health and safety and internal audit information for the December, February and March staff meetings.  Infection control was not documented for the December and March meetings.  The quality meeting did not document discussion of incidents, health and safety and internal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internal audits are completed according to the schedule.</w:t>
            </w:r>
          </w:p>
          <w:p w:rsidR="00EB7645" w:rsidRPr="00BE00C7" w:rsidP="00BE00C7">
            <w:pPr>
              <w:pStyle w:val="OutcomeDescription"/>
              <w:spacing w:before="120" w:after="120"/>
              <w:rPr>
                <w:rFonts w:cs="Arial"/>
                <w:b w:val="0"/>
                <w:lang w:eastAsia="en-NZ"/>
              </w:rPr>
            </w:pPr>
            <w:r w:rsidRPr="00BE00C7">
              <w:rPr>
                <w:rFonts w:cs="Arial"/>
                <w:b w:val="0"/>
                <w:lang w:eastAsia="en-NZ"/>
              </w:rPr>
              <w:t>(ii) Ensure that meetings reflect information and discussion of the quality outcomes.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plan includes internal audits.  Each audit tool includes a process to document and follow up action plans as needed; the follow-up process is not always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Action plans have not been documented for all internal audits, where an issue was identified.  Examples include: audits for August, September and October.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an action plan is documented and followed up where a shortfall is identified.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education schedule, however not all training has been provided. As Covid-19 emerged in early 2020 and two further outbreaks occurred, later in 2020 and again in early 2021 when their rest home went into pre-cautionary lockdown, this caused a number of training opportunities to be delayed or cancelled.  They are in catch up mode for any topic that was not able to be delivered in 2020.  The manager states they are on track to meet the training requirements.  Also a number of their healthcare assistants have completed level 2 and or level 3 through Careerforce in 2021.  A further five are enrolling in Level 3/4 Aged Care specialty papers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training has been provided over the last two years including health and safety, Treaty of Waitangi (or cultural care), informed consent and clinical assessment/care of a deteriorating resident (which the GP had suggested they should undertake).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training is provided as per the schedule.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medications are stored safely in a locked purpose-built medication room.  The supplying pharmacy provides all medications prescribed.  All medications were within the expiry date.  Not all eyedrops in use were dated.  All medication charts sighted had been reviewed by the GP/NP.  All medication charts had photo identification and seven had an allergy status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Five electronic medication charts did not have an allergy status documented and (ii) not all eye drops in use had been dated on opening.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allergies are documented on the medication charts and (ii) ensure all eye drops are dated on opening.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1.3.5.3</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demonstrate service integration.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Allied health professional notes including GP visits are recorded in the resident file.  Family and residents interviewed stated they are consulted regarding developing care plans and the evaluation of care plans, however there is no documented evidence of resident/family involvement.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no documented evidence of resident/relative input into care planning and evaluation of care.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there is documented resident/relative involvement in long-term care plans and evaluations.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were in use for identified needs to monitor a resident’s progress towards meeting desired goals.  Neurological observations had not always been completed following unwitnessed falls and there was no monitoring in place for one respite care resident with identified pain and one long-term care resident who wandered.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Two of six unwitnessed falls did not have neurological observations completed as per protocol, (ii) There was no pain assessment or monitoring of pain for one respite care resident with identified pain on admission and requiring ‘as required’ analgesia and, (iii) There was no monitoring in place as per accident/incident corrective action plan for a resident who had wandered.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neurological observations are completed as per protocol and (ii)-(iii) ensure monitoring requirements are implemented to meet the resident’s needs.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3.1.3</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clearly defined and documented infection control programme that is reviewed at least annually.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There are policies and procedures in place that outline the infection control programme, however there is no evidence of an annual review of the programme.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has not been reviewed within the last year.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infection control programme is reviewed annually.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Inglewood Welfare Society Incorporated - Marinoto Rest Home</w:t>
    </w:r>
    <w:bookmarkEnd w:id="58"/>
    <w:r>
      <w:rPr>
        <w:rFonts w:cs="Arial"/>
        <w:sz w:val="16"/>
        <w:szCs w:val="20"/>
      </w:rPr>
      <w:tab/>
      <w:t xml:space="preserve">Date of Audit: </w:t>
    </w:r>
    <w:bookmarkStart w:id="59" w:name="AuditStartDate1"/>
    <w:r>
      <w:rPr>
        <w:rFonts w:cs="Arial"/>
        <w:sz w:val="16"/>
        <w:szCs w:val="20"/>
      </w:rPr>
      <w:t>27 April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