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Ashwood Park Lifecare (2012) Limited - Ashwood Park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Ashwood Park Lifecare (2012)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Ashwood Park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February 2021</w:t>
      </w:r>
      <w:bookmarkEnd w:id="7"/>
      <w:r w:rsidRPr="009418D4">
        <w:rPr>
          <w:rFonts w:cs="Arial"/>
        </w:rPr>
        <w:tab/>
        <w:t xml:space="preserve">End date: </w:t>
      </w:r>
      <w:bookmarkStart w:id="8" w:name="AuditEndDate"/>
      <w:r w:rsidR="00A4268A">
        <w:rPr>
          <w:rFonts w:cs="Arial"/>
        </w:rPr>
        <w:t>3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Arvida Ashwood Park Lifecare is part of the Arvida aged care residential group.  The rest home provides rest home, hospital and dementia level of care for up to 121 residents in the care centre and up to 35 residents at rest home level in the serviced apartments.  On the day of the audit there were 126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service is operated by two managers with many years aged care experience. They are supported by an experienced facility nurse manager, two clinical managers, quality/education manager and national quality manager.  The residents, relatives and general practitioner interviewed spoke positively about the care and services provided at Ashwood Park.</w:t>
      </w:r>
    </w:p>
    <w:p w:rsidRPr="00A4268A">
      <w:pPr>
        <w:spacing w:before="240" w:line="276" w:lineRule="auto"/>
        <w:rPr>
          <w:rFonts w:eastAsia="Calibri"/>
        </w:rPr>
      </w:pPr>
      <w:r w:rsidRPr="00A4268A">
        <w:rPr>
          <w:rFonts w:eastAsia="Calibri"/>
        </w:rPr>
        <w:t xml:space="preserve">This surveillance audit identified areas for improvement required around documented interventions and self-medication competencies.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Code of Consumers’ Rights (the Code).  Policies are implemented to support residents’ rights, communication and complaints management.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quality and risk management system in place at Ashwood Park which is designed to monitor contractual and standards compliance.  Quality projects are implemented.  Quality data is collected and reported to the bi-monthly staff and quality/management meetings.  There is an annual internal audit calendar schedule.  Residents and relatives are provided the opportunity to feedback on service delivery issues at bi-monthly resident meetings and via annual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plan for 2021 is being implemented as per schedule.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senior caregivers (wellness partners) responsible for administration of medicines complete annual education and medication competencies.  The medicine charts reviewed met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activity programme for each household within the three levels of care.  The programme includes community visitors and outings, entertainment and activities that meet the individual recreational, physical, cultural and cognitive abilities and preferences for each resident group.  Volunteers are involved in assisting with activities.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There are nutritional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Maintenance requests are logged into maintenance books and planned maintenance is completed by the maintenance person or contractors.  Residents can freely mobilise within the communal areas with safe access to the outdoors, seating and shade.  The dementia care household has safe outdoor walking pathways, gardens and grounds.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Ashwood Park Lifecare has restraint minimisation and safe practice policies and procedures in place.  At the time of the audit, the service had six restraints and two enablers.  The facility nurse manager is the designated restraint coordinator.  Ongoing restraint and enabler assessments, monitoring and evaluation occurs.  The service and organisation regularly review restraint use and strive to minimise the use of restraint.  Staff receive training around restraint minimisation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have been no outbreaks.  There has been additional education and resources available due to Covid-19 restrictions.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  Staff are aware of the complaints process and to whom they should direct complaints.  A complaints register is available.  Eight complaints have been made in 2020 and no complaints received in 2021 year to date at Ashwood Park.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(three rest home and one hospital level) interviewed stated they were welcomed on entry and given time and explanation about the services and procedures.  Accident/incidents, complaints procedures and the process around open disclosure alerts staff to their responsibility to notify family/next of kin of any accident/incident.  Fifteen incident/accidents forms reviewed for December 2020 and January 2021 had documented evidence of family notification or noted if family did not wish to be informed.  Seven relatives (two rest home, three hospital and two dementia level care)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Ashwood Park is part of the Arvida Group.  The service provides hospital, rest home and dementia level care for up to 121 residents and rest home level care for up to a further 35 residents in serviced apartments.  On the day of the audit, there were 126 residents in total; 42 hospital level residents, including one resident on respite care and two younger persons with disabilities (YPD) contract; 58 rest home residents, including one resident on respite care and two on a YPD contract.  Four of the rest home residents were in the hospital unit and seven in the 35 serviced apartments.  There were 26 residents in the 26-bed dementia unit.  All other residents were admitted under the aged residential related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village managers (husband and wife).  One village manager looks after the operational and financial management and the other village manager covers the HR management, property and maintenance requirements.  The village managers have previously managed aged care facilities for 13 years and owned Ashwood Park prior to the purchase by Arvida Group.  The village managers are supported by a facility nurse manager.  The facility nurse manager has been at the service for five years.  She is supported by a unit clinical manager in each of the three units (hospital, rest home and dementia care) who are all qualified and experienced for the roles.  Additionally, the management team includes a quality manager who is also the learning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managers’ report to the Arvida senior management team on a variety of operational issues and provides a monthly report.  Arvida has an overall business/strategic plan.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managers and facility nurse manager have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system in place at Ashwood Park which is designed to monitor contractual and standards compliance.  One of the village managers is responsible for providing oversight of the quality and risk management system on site, which is also monitored at an organisational level.  Interviews with staff confirmed that there is discussion about quality data at various facility meetings.  Arvida Group policies are reviewed at least every two years across the group.  Head office sends out new/updated policies for staff to read.  The service policies and processes meet relevant standards including those required to meet residents’ medical needs.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Restraint and enabler use (when used) is reported within the quality/management and RN meetings.  Residents/relatives are surveyed to gather feedback on the service provided and the outcomes are communicated to residents, staff and families.  A resident/relative satisfaction survey was completed in January 2020.  Resident/family meetings occur bi-monthly, and the results of the satisfaction survey have been discussed.  Corrective actions were implemented and completed for improvement around the laundry service and resident’s food dining room experience.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The quality manager is the health and safety officer.  Hazard identification forms and an up-to-date hazard register are in place which was last reviewed on 14 September 2020.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facility nurse manager investigates accidents and near misses and analysis of incident trends occurs.  There is a discussion of incidents/accidents at bi-monthly staff meetings including actions to minimise recurrence.  An RN conducts clinical follow-up of residents.  Fifteen incident forms reviewed demonstrated that appropriate clinical follow-up and investigation occurred following incidents.  Neurological observation forms were documented and completed for eight unwitnessed falls or potential head injuries reviewed.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have been five section 31 incident notifications required since the last audit.  There were two notifications for police investigations (two aggressive resident behaviours in June and October 2020) and three pressure injuries (one stage 3 in September 2020 and two unstageable in August and September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Seven staff files were reviewed, including two clinical managers, four caregivers (wellness partners) and one quality manager.  There is evidence that reference checks were completed before employment was offered.  Annual staff appraisals were evident in five staff files reviewed with the other two staff new to the service.  A copy of practising certificates is kept.  The service has an orientation programme in place that provides new staff with relevant information for safe work practice.  The orientation programme includes e-learning on all aspects of the facilities procedures.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has been completed and 2021 year to date is being implemented.  The Arvida online training programme (Altura) is available for all staff.  The service can monitor staff training and attendance.  All staff have completed eight hours plus training in 2020.  Discussions with the caregivers and RNs confirmed that online training is readily available.  There are 10 RNs in total and five have completed interRAI training and four RNs have been booked in for interRAI training.  There are 59 caregivers in total.  Completed Careerforce training as follows; 26 have completed level four, 16 have completed level three and eight have completed level two training.  There are 13 caregivers who work routinely in the dementia unit and all 13 have completed the four dementia unit standards as required in the DHB ARC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Ashwood Park’s policy includes staff rationale and skill mix.  Sufficient staff are rostered on to manage the care requirements of the residents.  The service has a total of 129 staff in various roles.  Staffing rosters were sighted and there is staff on duty to match needs of different shifts.  The facility nurse manager works 40 hours per week, Monday to Friday and is available on call after hours.  In addition, there are three-unit clinical managers (hospital, rest home and dementia care).  There are two clinical managers in the dementia unit who job share.  There is at least one RN on at any one time.  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126 residents in total - 42 hospital residents, 51 rest home residents, 26 dementia level care residents and seven rest home residents across the 35 certified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42 hospital and four rest home residents.  The hospital clinical manager is supported by two RNs on the morning and afternoon shifts and one RN on night duty.  There are nine caregivers (four full and five short shifts) rostered on the morning, seven caregivers (three full and four short shifts) on the afternoon shift and three caregivers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47 rest home residents.  The rest home clinical manager is supported by one RN on the morning and afternoon shifts.  There are five caregivers (three full and two short shifts) rostered on the morning, four caregivers (one full and three short shifts) on the afternoon shift and two caregivers on night duty.  The hospital RN covers the rest home unit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 there are 26 residents.  The dementia clinical manager is supported by four caregivers (two full and two short shifts) rostered on the morning shift, four caregivers (two full and two short shifts) on the afternoon shift and one caregiver on night duty.  The hospital RNs cover the dementia unit on the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In the serviced apartments, there are seven rest home residents and there is a separate roster with two caregivers (one full and one short shift) on the morning shift and one caregiver (short shift) on the afternoon shift.  A caregiver from the rest home looks after the serviced apartments rest home residents on the night shift.  The facility nurse manager supervises the care staff in the serviced apartments.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Clinical staff who administer medications (RNs and caregivers [wellness partners]) complete annual competency and annual medication education.  Registered nurses have completed syringe driver training.  Medications are stored safely in each unit.  All medication (blister packs) is checked on delivery against the medication chart with documented evidence of reconciliation in the electronic medication system.  The medication fridges are checked daily and are maintained within the acceptable temperature range.  Medication room temperatures are being monitored by a wall barometer currently at 24 degrees Celsius.  An invoice for three air conditioning units for the medication rooms was sighted and these will be installed in the near future.  All eye drops sighted were dated on opening.  Emergency clinical equipment is checked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hospital residents self-medicating on the day of audit.  Self-medication competencies had been completed on eCase but had not been reviewed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on the electronic medication system.  Photo identification and allergy status were identified.  All charts met prescribing requirements for ‘as required’ medication and outcomes were documented for effectiveness of ‘as required’ medications.  The medication charts had been reviewed three-monthly by the residents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and baking are prepared and cooked on site by a contracted service.  The head chef is supported by a weekend cook and catering assistants from 6 am - 1.30 pm. Ashwood employ two kitchenhands each day from 8.30 am -1.30 pm and from 4 pm – 8 pm.  Food services staff have completed food safety training.  There is a four-weekly summer/winter menu has been reviewed by the dietitian.  The menu provides a vegetarian option, diabetic desserts and pureed/soft meals.  The chef receives resident dietary profiles and notified of any dietary changes.  A whiteboard in the kitchen is maintained for resident dislikes, special dietary requirements and food allergens.  There are additional foods and nutritious snacks provided for residents in the dementia care unit.  Meals are delivered in a hot box to the hospital and dementia households and serviced apartments dining room.  The kitchen is adjacent to the rest home dining room for the serving of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fridge and end-point cooked temperatures, reheating (as required), incoming goods, dishwasher rinse and wash temperatures are all taken and recorded.  All perishable foods and dry goods were date labelled.  A cleaning schedule is maintained.  Staff were observed to be wearing appropriate personal protective clothing.  The current food control plan has been verified and expires 7 April 2021.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direct communication, resident meetings and resident survey.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Family is notified of all changes to health as evidenced in the electronic progress notes and in family interviews.  Not all electronic care plans have been updated for changes to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wound care supplies and pressure injury prevention resources.  There is access to a continence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and photos were reviewed on eCase for 12 rest home/hospital residents (skin tears, chronic ulcers, and pressure injuries).  There were four hospital level residents with facility acquired pressure injuries (three stage 2 and one stage 1) and one rest home resident with a stage two pressure injury on admission.  There were no wounds in the dementia care unit.  When wounds are due for a change of dressing, a task is automated on the RN daily schedule.  The district wound nurse has been involved in the management of complex or non-healing wounds.  Pressure injury interventions are documented in care plans; however the presence of a stage two injury had not been linked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Caregivers (wellness partners) sign for tasks that have been completed on the daily log.  Monitoring charts are well utilised and include pain monitoring, observations, behaviour, weight, food and fluids, neurological observations and re-positioning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five diversional therapists (DT) one of whom is the DT Lead.  There are DTs in each area who are currently mentoring caregivers (wellness partners) to coordinate and implement activities (small group or one-on-one) for residents in their households.  There are special events and weekly fixtures planned and displayed in each area of care - rest home, hospital and dementia care households.  The serviced apartments prefer to have a monthly calendar of events and fixtures.  Rest home residents in serviced apartments can choose to attend activities in their area or join rest home activities.  The programme runs from 10.30 am to 5.30 pm across seven days in the dementia care household and Monday to Friday in the rest home and hospital households.  The service link with Marlborough volunteer group and have about 20 visiting volunteers who are involved in one-on-one activities, chats, reading newspapers, nail care, craft, cooking, trishaw rides and pet therapy.  Male volunteers coordinate the men’s group and barbeques.  Special events include entertainers, musical concerts, visiting children, ballroom dancers, market days, Mr Whippy and community events such as RSA.  Weekly fixed activities include library trolley, board games, pet therapy, van outings, Chaplain visits and Communion.  One-on-one activities such as individual walks, newspaper reading, and hand massage occur for residents who choose not to be involved in group activities.  There are meaningful activities for residents such as gardening and garden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some integrated activities including fortnightly church services, entertainment and men’s club.  Theme days and special occasions are celebrated.  Residents are assisted to attend the activities.  There are plenty of resources available for care staff to implement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unit are flexible, home-based (baking, folding washing, sweeping floors) and are meaningful to the residents.  Activity suggestions for residents is displayed and resources are plentiful.  There are several outdoor walking spaces, gardens and grounds and smaller lounges where quieter activities can take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completes an individual under 65 years activity plan in consultation with the younger people that identifies their specific recreational preferences and community involvement.  The younger persons choose to attend group activities and there is one-on-one time spent with them such as shopping or activities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soon after admission.  Individual leisure plans were seen in resident electronic files.  The activity coordinators are involved in the six-monthly review with the RN.  The service receives feedback and suggestions for the programme through household meetings (rest home and hospital), family meetings in the dementia care unit and annual surveys.  The residents and relatives interviewed were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Long-term care plans have been evaluated by the RN six-monthly for the long-term resident electronic care plans reviewed.  Family is invited to attend the multidisciplinary review meeting and case conference notes are kept.  Written evaluations reviewed identified if the resident goals had been met or unmet.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July 2021.  The building is two levels with 14 of 35 serviced apartments upstairs with lift and stair access.  The remaining serviced apartments, rest home, hospital and dementia care unit are on the ground floor.  There is a maintenance person who works full-time and there are two full-time gardeners.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request book in each nurses’ station and the reception which is checked daily for repair and maintenance requests.  There is a planned maintenance schedule that includes electrical testing and tagging, resident equipment checks and calibrations such as wheelchairs, hoists, weigh scales and electric beds.  Monthly hot water tests are completed for resident areas and are below 45 degrees Celsius.  The maintenance person and the village managers share the on call for facility concerns.  Essential contractors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and gardens were well maintained with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garden is safely fenced.  Doors from the dining and lounge areas open out onto the gardens with a walking pathway.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(wellness partners)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database.  Surveillance of all infections is entered onto a monthly infection summary with an end of month analysis.  The infection control coordinator (facility nurse manager) monitors and analyses all data for trends monthly and annually.  Benchmarking occurs at head office and results including graphs are discussed at the bi-monthly combined infection control/health and safety committee meetings.  Meeting minutes are available for staff.  Surveillance data is used to determine areas for quality improvement and education needs.  Internal infection control audits are completed with corrective actions for areas of improvement.  There have been no outbreaks.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Covid-19 restrictions there were daily Combat Covid-19 meetings with all staff, keeping them updated and including additional education.  All staff completed the infection control module on Altura and practical competencies around correct donning and doffing of personal protective equipment.  There is sufficient personal protective equipment on site.  Signage for donning and doffing was developed by the service including translated signage for staff from the Pacific Islands.  The DHB have adopted the signage for their staff.  There was additional communication with staff by using the eCase message board, handovers and messages in time target.  The DHB visited the site to assess pandemic preparedness and there were ongoing zoom sessions.  The infection control coordinator has almost completed a vaccinator course and is on the DHB “models if clinical care working group for aged care” which explore options such as outpatient appointments by zoom and advance care planning with primary health organisations.  Screening of resident admissions was evident in the new admission files reviewed.  There is ongoing screening/declarations of visitors and contractors.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At the time of the audit, there were six residents with six restraints (four chair briefs and two bed sides) and two residents using enablers (bed sides).  Enabler use is voluntary.  All necessary assessments and evaluations had been completed in relation to the restraints and enablers.  Policies and procedures include definition of restraint and enabler that are congruent with the definition in NZS 8134.0.  The facility nurse manager has been regularly reviewing the restraint use and is striving to minimise the use of restraint.  Staff receive training around restraint minimisation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93"/>
        <w:gridCol w:w="1280"/>
        <w:gridCol w:w="5063"/>
        <w:gridCol w:w="4032"/>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hospital residents self-medicating on the day of audit.  The residents were being monitored for compliance and the GP was aware that the residents were self-medicating.  Self-medication initial competencies on the eCase had been completed, however these had not been reviewed as per protocol.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self-medication competencies for two hospital residents had not been reviewed three-monthly.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self-medication competencies are reviewed at least three-monthly.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Pressure injury interventions including the use of air alternating mattresses, roho cushions, regular skin checks, moisturising and repositioning was documented in the care plans of residents at risk of pressure injury, however the presence of a pressure injury for one resident was not included in the care plan.  Changes to care including pain post fall, had not been updated in the care plan for one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A stage 2 pressure injury of a heel including interventions for one hospital level resident was not identified in the long-term care plan, (ii) another rest home resident requiring GP follow-up and analgesia for hip pain following a fall did not have an updated pain assessment or interventions documented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interventions to support changes to health are updated in the long-term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Ashwood Park Lifecare (2012) Limited - Ashwood Park Retirement Village</w:t>
    </w:r>
    <w:bookmarkEnd w:id="58"/>
    <w:r>
      <w:rPr>
        <w:rFonts w:cs="Arial"/>
        <w:sz w:val="16"/>
        <w:szCs w:val="20"/>
      </w:rPr>
      <w:tab/>
      <w:t xml:space="preserve">Date of Audit: </w:t>
    </w:r>
    <w:bookmarkStart w:id="59" w:name="AuditStartDate1"/>
    <w:r>
      <w:rPr>
        <w:rFonts w:cs="Arial"/>
        <w:sz w:val="16"/>
        <w:szCs w:val="20"/>
      </w:rPr>
      <w:t>2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