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Maungaturoto Residential Care Limited - Maungaturoto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Maungaturoto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Maungaturoto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March 2021</w:t>
      </w:r>
      <w:bookmarkEnd w:id="7"/>
      <w:r w:rsidRPr="009418D4">
        <w:rPr>
          <w:rFonts w:cs="Arial"/>
        </w:rPr>
        <w:tab/>
        <w:t xml:space="preserve">End date: </w:t>
      </w:r>
      <w:bookmarkStart w:id="8" w:name="AuditEndDate"/>
      <w:r w:rsidR="00A4268A">
        <w:rPr>
          <w:rFonts w:cs="Arial"/>
        </w:rPr>
        <w:t>30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Maungatoroto Rest Home provides rest home level care for up to 16 clients. The service is operated by Maungatoroto Residential Care Ltd (a charitable trust) and managed by a nurse manager. Clients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client and staff files, observations and interviews with clients, family, management, staff, board members, a volunteer and a general practitioner. This audit identified six areas of improvement relating to risk management, human resources, care plans, infection control and medication.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 complaints register is maintained with complaints resolved promptly and effectively.</w:t>
      </w:r>
    </w:p>
    <w:p w:rsidRPr="00A4268A">
      <w:pPr>
        <w:spacing w:before="240" w:line="276" w:lineRule="auto"/>
        <w:rPr>
          <w:rFonts w:eastAsia="Calibri"/>
        </w:rPr>
      </w:pPr>
      <w:r w:rsidRPr="00A4268A">
        <w:rPr>
          <w:rFonts w:eastAsia="Calibri"/>
        </w:rPr>
        <w:t xml:space="preserve">Clients and their families are provided with information about the Health and Disability Commissioner’s Code of Health and Disability Services Consumers’ Rights (the Code), and these are respected. The services provided support personal privacy, independence, individuality, and dignity. Staff interact with clients in a respectful manner. </w:t>
      </w:r>
    </w:p>
    <w:p w:rsidRPr="00A4268A">
      <w:pPr>
        <w:spacing w:before="240" w:line="276" w:lineRule="auto"/>
        <w:rPr>
          <w:rFonts w:eastAsia="Calibri"/>
        </w:rPr>
      </w:pPr>
      <w:r w:rsidRPr="00A4268A">
        <w:rPr>
          <w:rFonts w:eastAsia="Calibri"/>
        </w:rPr>
        <w:t>Open communication between staff, clients and families is promoted, and confirmed to be effective. There is access to interpreting services if required. Staff provide clients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There is a Maori health plan to guide staff to ensure that clients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clients’ needs.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mission statement, philosophy, goals and objectives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clients and families. Adverse events are documented with corrective actions implemented.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clients. </w:t>
      </w:r>
    </w:p>
    <w:p w:rsidRPr="00A4268A">
      <w:pPr>
        <w:spacing w:before="240" w:line="276" w:lineRule="auto"/>
        <w:rPr>
          <w:rFonts w:eastAsia="Calibri"/>
        </w:rPr>
      </w:pPr>
      <w:r w:rsidRPr="00A4268A">
        <w:rPr>
          <w:rFonts w:eastAsia="Calibri"/>
        </w:rPr>
        <w:t xml:space="preserve">Clients’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client/family. </w:t>
      </w:r>
    </w:p>
    <w:p w:rsidRPr="00A4268A" w:rsidP="00621629">
      <w:pPr>
        <w:spacing w:before="240" w:line="276" w:lineRule="auto"/>
        <w:rPr>
          <w:rFonts w:eastAsia="Calibri"/>
        </w:rPr>
      </w:pPr>
      <w:r w:rsidRPr="00A4268A">
        <w:rPr>
          <w:rFonts w:eastAsia="Calibri"/>
        </w:rPr>
        <w:t xml:space="preserve">The multidisciplinary team, including the registered nurse/manager and general practitioner, assess clients’ needs on admission. Care plans are individualised, based on a comprehensive range of information and accommodate any new problems that might arise. Files reviewed demonstrated that the care provided and needs of clients are reviewed and evaluated on a regular and timely basis. Clients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clients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clients with special needs catered for. Food is safely managed. Clients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clients and is clean and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Clients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or restraints were in use at the time of audit.  A comprehensive assessment, approval and monitoring process with regular reviews occurs when relevant. Use of enablers is voluntary for the safety of clients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the infection control coordinator, aims to prevent, and manage infections.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 There has been no infection outbreak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99"/>
        <w:gridCol w:w="1280"/>
        <w:gridCol w:w="88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Maungaturoto Rest Home has developed policies, procedures, and processes to meet its obligations in relation to the Code of Health and Disability Services Consumers’ Rights (the Code). The interviewed staff understood the requirements of the Code and were observed communicating respectfully with clients. Clients were encouraged to be independent, options were provided, and privacy and dignity was maintained.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interviewed RN/Manager and care staff understood the principles and practice of informed consent. Informed consent policies provide relevant guidance to staff.  Informed consent has been gained appropriately using the organisation’s standard consent form. Signed consent forms were sighted in the clinical files reviewed. Resuscitation treatment plans were sighted in the reviewed clients’ records. Staff were observed to gain consent for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Clients or family/EPOAs are given a copy of the Code, which includes information on the advocacy service during admission. Posters and brochures related to the advocacy service were displayed and available at the reception area. Family members and clients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Clients are assisted to maintain links with their family and the community by attending to a variety of organised outings, visits, shopping trips, activities, and entertainment. The facility has unrestricted visiting hours and encourages visits from clients’ family members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clients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no complaints had been received over the past year but there was a DHB investigation instigated. This was investigated and a satisfactory resolution reached. Because of the low numbers of clients, the nurse manager reported she interact regularly with them one on one and any little issues are resolved at the time. Any concerns would be documented and follow the required process with improvements made. The nurse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Clients and family interviewed reported being made aware of the Code and the Nationwide Health and Disability Advocacy Service (Advocacy Service) as part of the admission information provided and from discussions with staff on admission. The Code is displayed at the reception area together with information on advocacy services, complaints,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Clients receive services in a manner that respects their dignity, privacy, sexuality, spirituality, and choices. The interviewed clients and family confirmed this. Clients’ personal belongings are labelled for easy identification and residents reported that they receive back their clothes after laundering. Staff maintained privacy during cares throughout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Clients are supported to attend to community activities by family and staff when required. The care plans included documentation related to the clients’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client’s individual cultural, religious, and social needs, values and beliefs had been identified on admission,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Interviewed staff understood the service’s policy on abuse and neglect, including what to do should there be any signs. Education on abuse and neglect was confirmed to occur during orientation and annually. The interviewed general practitioner (GP) and family have not witnessed or observed any abuse nor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clients who identified as Maori on the days of the audit. There was a current Māori health plan developed with input from cultural advisers. The Maori health policy reflects the principles of the Treaty of Waitangi and the registered nurse/ manager (RN/Manager) stated these would be incorporated into daily practice when required.  Guidance on tikanga best practice was available. The interviewed RN/Manager understood the Treaty of Waitangi and the need to acknowledge cultural values and beliefs for individual people who identify as Maori. Staff have received education on cultural safety and Maori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Clients’ individual culture, values and beliefs were identified during the admission assessment. Interviewed clients and family/enduring power of attorney (EPOA) confirmed that they were consulted on individual values and beliefs and staff respected these. Clients’ individual preferences required interventions and special needs were included in the care plans reviewed. The client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Clients, family members and the GP interviewed stated that clients were free from any type of discrimination, harassment or exploitation and felt safe. The induction process for staff includes education related to professional boundaries, expected behaviours and the Code of Conduct. These are included in the employee handbook and are discussed with all staff during orientation period. The RN/Manager demonstrated knowledge and understanding of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internal audits, input from external specialist services and allied health professionals, for example, wound care specialist, mental health services for older persons, and education of staff. The annual education planner included mandatory training topics.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RN/Manager has access to external education through the local hospital board, though this was limited over the past year due to COVID-19 pandemic restrictions.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Clients and family/EPOAs stated they were kept well informed about any changes to their/their relative’s status, were advised in a timely manner about any incidents or accidents and outcomes of regular and any urgent medical reviews. This was supported in the reviewed clients’ records.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staff able to speak English and the use of family members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mission, scope, direction and goals of the organisation. The documents describe annual and longer term objectives and the associated operational goals and plans. A sample of monthly trust board meeting minutes showed adequate information to monitor performance is reported including financial reporting, occupancy numbers and relevant issues. The service is managed by a nurse manager who holds relevant qualifications and has been in the role for 11 years. Responsibilities and accountabilities are defined in a job description and individual employment agreement. The nurse manager confirms knowledge of the sector, regulatory and reporting requirements and maintains currency through her annual practising certificate, some online training and also support from the DHB.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level care and respite.  Nine clients were receiving permanent services under the rest home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nurse manager is absent, a senior HCA carries out all the required duties under delegated authority. During those absences, the clinical management is overseen by the RN and doctor at the co-located medical centre, with afterhours coverage by the on-call doctor, who are experienced in the sector and able to take responsibility for any clinical issues that may arise. The Wellsford medical centre is also willing to assist if required. Any prolonged absence would regular registered nursing from an agency.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the management of incidents and complaints, audit activities, a regular client satisfaction survey, monitoring of outcomes, clinical incidents including infections, skin tears and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staff meetings. Staff reported their involvement in quality and risk management activities through the regular discussions at meetings and involvement in audit activity. Relevant corrective actions are developed and implemented to address any shortfalls. Client and family satisfaction surveys are completed annually. The most recent surveys showed there were no concerns identified. Due to the availability of the nurse manager and senior care givers, any issues are discussed promptly and actions taken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the processes for the identification, monitoring, review and reporting of risks and development of mitigation strategies. However, the risk/hazard register is not always specific to the facility and contains several generalised items that are not required. Refer corrective action in criterion 1.2.3.9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showed these were fully completed, incidents were investigated, action plans developed and actions followed-up in a timely manner.  Adverse event data is collated, analysed and reported to the board and staff.</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described essential notification reporting requirements, including for pressure injuries. They advised there have been no notifications of significant events made to the Ministry of Health, MoH, and other external agencies  for example, Worksafe NZ, coroner, or public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and staff interviewed reviewed confirmed the organisation’s policies are being implemented but some files are not complete and up to date. Refer corrective action in criterion 1.2.7.3</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 documentation of completed orientation and regular performance reviews.</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 nurse manager is the internal assessor for the programme. There is a sufficiently trained and competent registered nurse who is maintaining her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clients.  An afterhours on call roster is in place, with staff reporting that good access to advice is available when needed. Care staff reported there were adequate staff available to complete the work allocated to them.  Clients and family interviewed supported this. Observations and review of five weekly roster cycles confirmed adequate staff cover, including 42 hours RN coverage,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Clients’ information is in electronic form for interRAI assessments and GP notes. The interRAI assessment comments are printed and paper copies kept in clients’ files. Progress notes, initial admission assessments and admission agreements, initial care plans and evaluation forms are paper based. Records were legible with the name and designation of the person making the entry identifiable. All necessary demographic, personal, clinical and health information was fully completed in the clients’ files sampled for review. Clinical notes were current and integrated with GP and allied health service provider notes. </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Clients’ files are held for the required period before being destroyed. No personal or clients’ private information was on public display during the audit. The clients’ files were kept in the locked nurses’ station.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Admission enquiries are managed the RN/Manager. Clients enter the service when their required level of care has been assessed and confirmed by the local Needs Assessment and Service Coordination (NASC) Service. Prospective clients and/or their families are encouraged to visit the facility prior to admission and are provided with written information about the service and the admission process. All clients admitted required rest home level of care.</w:t>
            </w:r>
          </w:p>
          <w:p w:rsidR="00EB7645" w:rsidRPr="00BE00C7" w:rsidP="00BE00C7">
            <w:pPr>
              <w:pStyle w:val="OutcomeDescription"/>
              <w:spacing w:before="120" w:after="120"/>
              <w:rPr>
                <w:rFonts w:cs="Arial"/>
                <w:b w:val="0"/>
                <w:lang w:eastAsia="en-NZ"/>
              </w:rPr>
            </w:pPr>
            <w:r w:rsidRPr="00BE00C7">
              <w:rPr>
                <w:rFonts w:cs="Arial"/>
                <w:b w:val="0"/>
                <w:lang w:eastAsia="en-NZ"/>
              </w:rPr>
              <w:t>Maungaturoto Rest Home’s brochure and information on the facility’s website have detailed information on the services provided by the service. 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RN/Manager and the caregivers manage the exit, discharge, or transfer, with an escort provided as appropriate. The service uses the DHB’s ‘yellow envelope’ transfer system to facilitate transfer of clients to and from acute care services. There is open communication between all services, the client and the family/EPOA. At the time of transition between services, appropriate information is provided for the ongoing management of the client.  All referrals were documented in the progress notes. A patient recently transferred to the local acute care facility showed adequate information was shared to allow continuity of care. Family of the client reported being kept well informed during the transfer of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The RN/Manager reported that if the needs of a client change and they are no longer suitable for the services offered, a referral for reassessment to the NASC is made and a new placement found, in consultation with the client and family. There is a clause in the access agreement related to when a client’s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current legislative requirements and safe practice guidelines. The medicine management system in use is paper based. The caregiver who was observed administering medicines demonstrated good knowledge and had a clear understanding of their role and responsibilities related to each stage of medicine management. All staff who administer medicines had current medication administration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RN/Manager checks medications against the prescription and conducts medication reconciliation when clients return to the facility from acute services or external appointments. The RN/Manager reported that expired and unwanted medicines are returned to the pharmacy for disposal. Clinical pharmacist input is provided on request. 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three-monthly GP reviews were consistently recorded on the medicine charts. The paper prescription charts had current photos for clients’ identification and allergies were documented.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clients who were self-administering medicines at the time of audit. Appropriate processes were in place to ensure this was managed in a safe manner when required.</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were documented, and corrective actions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Stock checks for controlled drugs were not completed six -monthly as required. Refer corrective action in criterion 1.3.12.1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three main cooks and is in line with recognised nutritional guidelines for older people. The menu follows summer and winter patterns on a four weekly cycle and has been reviewed by a qualified dietitian on 14 December 2020.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city council. Food and fridge temperatures, including for high-risk items, are monitored appropriately, and recorded as part of the plan. The cooks have completed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Nutritional assessments were completed for each client on admission to the facility and a dietary profile developed. The personal food preferences, any special diets and modified texture requirements are made known to kitchen staff and accommodated in the daily meal plan. Special equipment, to meet clients’ nutritional needs, was available. </w:t>
            </w:r>
          </w:p>
          <w:p w:rsidR="00EB7645" w:rsidRPr="00BE00C7" w:rsidP="00BE00C7">
            <w:pPr>
              <w:pStyle w:val="OutcomeDescription"/>
              <w:spacing w:before="120" w:after="120"/>
              <w:rPr>
                <w:rFonts w:cs="Arial"/>
                <w:b w:val="0"/>
                <w:lang w:eastAsia="en-NZ"/>
              </w:rPr>
            </w:pPr>
            <w:r w:rsidRPr="00BE00C7">
              <w:rPr>
                <w:rFonts w:cs="Arial"/>
                <w:b w:val="0"/>
                <w:lang w:eastAsia="en-NZ"/>
              </w:rPr>
              <w:t>Evidence of client satisfaction with meals was confirmed by client and family interviews and satisfaction surveys. The food was served in the dining room and clients were offered extra servings if desired. Clients were given enough time to eat their meal in an unhurried fashion.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RN/Manager reported that if a referral is received but the prospective client does not meet the entry criteria or there is no vacancy, the local NASC is advised to ensure the prospective client and family are supported to find an appropriate care alternative. When entry to the facility is declined, the prospective client and/family are informed of the reason for the decline and of other options or alternative services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was documented using validated nursing assessment tools, such as a pain scale, falls risk, skin integrity, nutritional screening, and continence, to identify any deficits and to inform care planning. Monthly nursing observations were completed and documented. Six-monthly interRAI reassessments were completed in a timely manner. All clients had current interRAI assessments. The sample of care plans reviewed had an integrated range of client-related information. Clients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care plans reviewed reflected the support needs of clients, and the outcomes of the integrated assessment process and other relevant clinical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evidenced service integration with progress notes, activities notes, medical and allied health professionals’ notations clearly written, informative and relevant.  Any change in care required was documented and verbally passed on to relevant staff. Short term care plans were completed for acute conditions and were closed off when conditions resolved. Clients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did not address all the clients’ identified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reviewed documentation, observations and interviews verified that the care provided to clients was consistent with their needs, goals, and the plan of care. The interviewed GP verified that medical input was sought in a timely manner, that medical orders are followed, and care was implemented promptly. The caregivers confirmed that care was provided as outlined in the documentation. A range of equipment and resources was available, suited to the level of care provided and in accordance with the clients’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the activities coordinator and a volunteer. Clients’ needs, interests, abilities, and social requirements are assessed on admission using a social assessment and history form that is completed by the RN with input from client and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clients’ activity needs are evaluated when there is significant change in their participation in activities and as part of the formal six-monthly care plan review. Daily activities attendance records were sighted.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clients’ goals, ordinary patterns of life and included normal community activities. Individual, group activities and regular events were offered. Clients and families were involved in evaluating and improving the programme through satisfaction surveys. The interviewed clients confirmed they find the programme satisfactory. Clients were observed participating in a variety of activities on the days of the audit. The activities on the programme includes short walks, shopping trips, newspaper reading, reminiscing. The activities coordinator reported that the activities are flexible and can be changed to meet the needs of the clients.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caregivers document in the progress notes in each shift. Any changes noted are reported to the RN/Manager. This was verified in the clients’ files reviewed. Routine care plan evaluations were completed six-monthly following interRAI reassessment, or as clients’ needs changed (Refer to 1.3.5). Where progress was different from expected, the service responded by initiating changes to the plan of care. Short-term care plans were consistently reviewed, and progress evaluated as clinically indicated. Completed short-term care plans were sighted for wound, urinary tract, and respiratory infections. Clients and families interviewed confirmed being involved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Clients are supported to access or seek referral to other health and/or disability service providers. If the need for other non-urgent services is indicated or requested, the GP or RN/Manager sends a referral to seek specialist input. Copies of referrals were sighted in clients’ files, including to the dietitian, eye specialists and wound nurse specialist. The client and the family are kept informed of the referral process, as confirmed by documentation and interviews. The GP confirmed that any acute/urgent referrals were attended to immediately, such as sending the client to accident and emergency in an ambulance if the circumstances dictated. Referral documentation was sighted in the reviewed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22-7-21)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clients’ physical environment and facilities are fit for their purpose and are generally maintained. The present building is dated but plans are in place to upgrade the whole area which will mean less on-going maintenance which is currently challenging. A discussion with maintenance and management highlighted some areas that would benefit from some attention. The testing and tagging of electrical equipment and calibration of bio medical equipment is current as confirmed in documentation reviewed, interviews with maintenance personnel and observation of the environment. Efforts are made to ensure the environment is hazard free, that clients are safe, and independence is promoted. Current construction work on a new dementia unit is presenting some challenges but these are being well managed.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There are a number of outside areas currently under construction and once these changes are completed it will result in improvements in the outside environment for clients.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Clients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four toilets, two showers and two rooms with full ensuites.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clients and staff to move around within their bedrooms safely.  All bedrooms provide single accommodation. While there are four rooms that are certified for double occupancy, these are only used if couples request these. Rooms are personalised with furnishings, photos and other personal items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clients to engage in activities. The dining, lounge and sunroom areas are spacious and enable easy access for clients and staff.  Clients can access areas for privacy, if required.  Furniture is appropriate to the setting and client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or by family members if requested. Duties are carried out by both care and the cleaner/ laundry person and they demonstrated a sound knowledge of the laundry processes, dirty/clean flow and handling of soiled linen. Clients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one cleaner employed has completed training in safe chemical handling.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3 December 2020. A trial evacuation takes place six-monthly with a copy sent to the New Zealand Fire Service, the most recent being on 21 December 2020.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nine clients. Adequate emergency supplies of water are kept on site in both bottles and large containers. The amount of water stored meets the Ministry of Civil Defence and Emergency Management recommendations for the region. There is access to a generator off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clients requiring assistance. Call system monitoring is completed on an on-going basis and clients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checked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client rooms and communal areas are heated and ventilated appropriately.  Rooms have natural light and opening external windows. Heating is provided by central heating in the client’s rooms and wall heaters in communal areas. All client rooms also have fans for use in the summer months. Areas were cool and well ventilated throughout the audit and clients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Maungaturoto Rest Home has implemented an infection prevention and control (IPC) programme to minimise the risk of infection to clients, staff, and visitors. The programme is guided by a comprehensive and current infection control manual, with input from external expert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RN/Manager is the designated infection control coordinator (ICC), whose role and responsibilities are defined in their job description and in the infection control policy. Infection control matters, including surveillance results, are reported monthly to the staff, and tabled at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is signage at the main entrance to the facility that requests anyone who is, or has been unwell in the past 48 hours, not to enter the facility. The infection control manual provides guidance for staff about how long they must stay away from work if they have been unwell. The interviewed staff understood these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There was a COVID-19 pandemic plan in place and current information on infection control measures and contact tracing requirements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the infection control programme is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The ICC has attended relevant study days, as verified in training records sighted. Additional support and information are accessed from the infection control team at the DHB, the community laboratory, the GP and public health unit, as required. The coordinator has access to clients’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Adequate resources to support the programme and any outbreak of an infection were available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The policies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The interviewed staff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education in infection prevention and control at orientation and ongoing education sessions. Education is provided by the ICC. The last staff education was completed on 8 November 2020. Content of the training is documented and evaluated to ensure it is relevant, current, and understood. A record of attendance was maintained. When an infection outbreak or an increase in infection incidence has occurred, there was evidence that additional staff education has been provided in response.  An example of this occurred during the beginning of COVID-19 pandemic.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clients was on an individual basis and has included reminders about handwashing, advice about remaining in their room if they are unwell, increasing fluids during hot weather. This was confirmed in the short-term care plans sighted.</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not attended to any external or online infection control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upper and lower respiratory tract, eye, ear, and multi-resistant organisms. The ICC reviews all reported infections, and these are documented. New infections and any required management plans are discussed at handover, to ensure early intervention occurs. The interviewed caregivers confirmed this. Internal audits were completed, and corrective actions were implemented as required.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were shared with staff via regular staff meetings and at staff handovers. Comparisons against previous month were conducted. The sampled surveillance data showed that minimal numbers of infections were recorded, five infections were recorded in the period from March 2020 to March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nurse manager will provide support and oversight for enabler and restraint management in the facility when required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clients using enablers and no restraints were in place. If required, a consistent process will be followed for the use of enablers and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The last use of an enabler was reported to be in 2019.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56"/>
        <w:gridCol w:w="1280"/>
        <w:gridCol w:w="5439"/>
        <w:gridCol w:w="1548"/>
        <w:gridCol w:w="18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risk /hazard register is very detailed and on review it was found to have a number of items that were not relevant or specific to the rest home or the governing body. Also potential risks to the wider organisation are not included. Many of the health and safety components were unnecessary e.g. lift safety, armed holdups and staff related harassment referring to classroom teaching situations. No potential organisational risks referring to activity that may have an effect on the viability of the facility, for example, financial or political, have been identified.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risk/hazard register is not always specific or relevant to the facility or the trust. A number of documented risks and hazards are not relevant, it is not reported on adequately or reviewed and updated regularly.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and update the risk register and subsequent management processes. Implement a regular reporting process to the board and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reviewed were not all complete with a number of required documents not being on file. Of five files reviewed, four did not have copies of the signed code of conduct, two did not have the confidentiality agreement, only one had a copy of the appropriate job description and two had a duty schedule instead. One police check had been received but not filed and was unable to be located. This was subsequently provided.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files reviewed did not have all the required documentation to evidence all the required components of the recruitment policy had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files need to be reviewed for completeness and to be kept up to date with the relevant documents.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controlled drugs kept on site in a secure controlled drugs cupboard that complies with the Controlled drugs storage requirements. Controlled drugs were checked upon delivery from pharmacy. The controlled drugs were checked for accuracy and administered by two staff with medication administration competency. The reviewed records evidenced accurate entries. The required six-monthly stock checks were not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six-monthly controlled drugs stock checks were not completed as required by the legislative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weekly and six-monthly controlled drugs stock checks.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needs identified by the interRAI assessments were reflected in the long-term care plans reviewed. However, the long-term care plans did not have documentation of all clients’ needs identified by the nursing assessments. For example, a client who required prompting and supervision for showering and dressing, the interventions were not documented in the long-term care plan but documented in the initial care plan. The interventions to maintain and promote clients’ independence were adequate to address the clients’ needs, though some were documented on the initial care plan and not added to the long-term care plan. The long-term care plans sampled were reviewed at least six-monthly. Care plans evidenced integration of relevant information, including interRAI assessments outcomes, and client/family input.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only addressed the interRAI triggered items, and other care needs were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long-term care plans that address all the care needs of the client as per standard requirement and the organisation’s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included in the infection control policy. The programme includes review of policies and procedures, staff education and surveillance of infection. The infection control programme was not reviewed annually as per organisation’s policy and standard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of an annually reviewed infection control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a documented infection control programme that is annually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3.4.1</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is provided by a suitably qualified person who maintains their knowledge of current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providing infection control education. The ICC reported that they have not attended to any infection control education. There was no evidence of infection control education/training records in their training file (Refer to 1.2.7.3).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not attended to any education in infection control.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infection control training/education for the infection control coordinator.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Maungaturoto Residential Care Limited - Maungaturoto Rest Home</w:t>
    </w:r>
    <w:bookmarkEnd w:id="58"/>
    <w:r>
      <w:rPr>
        <w:rFonts w:cs="Arial"/>
        <w:sz w:val="16"/>
        <w:szCs w:val="20"/>
      </w:rPr>
      <w:tab/>
      <w:t xml:space="preserve">Date of Audit: </w:t>
    </w:r>
    <w:bookmarkStart w:id="59" w:name="AuditStartDate1"/>
    <w:r>
      <w:rPr>
        <w:rFonts w:cs="Arial"/>
        <w:sz w:val="16"/>
        <w:szCs w:val="20"/>
      </w:rPr>
      <w:t>29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