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Y&amp;P NZ Limited - Eden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Y&amp;P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March 2021</w:t>
      </w:r>
      <w:bookmarkEnd w:id="7"/>
      <w:r w:rsidRPr="009418D4">
        <w:rPr>
          <w:rFonts w:cs="Arial"/>
        </w:rPr>
        <w:tab/>
        <w:t xml:space="preserve">End date: </w:t>
      </w:r>
      <w:bookmarkStart w:id="8" w:name="AuditEndDate"/>
      <w:r w:rsidR="00A4268A">
        <w:rPr>
          <w:rFonts w:cs="Arial"/>
        </w:rPr>
        <w:t>24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Eden Rest Home provides rest home level care for up to 19 residents who identify as Chinese. The facility is operated by Y&amp;P NZ Limited. The service is managed by a facility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management, the owners, staff and a general practitioner.</w:t>
      </w:r>
    </w:p>
    <w:p w:rsidRPr="00A4268A">
      <w:pPr>
        <w:spacing w:before="240" w:line="276" w:lineRule="auto"/>
        <w:rPr>
          <w:rFonts w:eastAsia="Calibri"/>
        </w:rPr>
      </w:pPr>
      <w:r w:rsidRPr="00A4268A">
        <w:rPr>
          <w:rFonts w:eastAsia="Calibri"/>
        </w:rPr>
        <w:t>Residents and families spoke positively about the support and care provided.</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The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All staff can speak Mandarin or Cantonese and some English. There is access to interpreting services if required. An interpreter was used for residents and family interviews in this audit.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is a Maori health plan to guide staff to ensure that 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Y&amp;P NZ Limited is the governing body and is responsible for the service provided.  A business and strategic plan and quality and risk management systems are fully implemented at Eden Rest Home and include a mission statement, philosophy commitment, objectives and goals. Systems are in place for monitoring the service, including regular reporting to the owners/directors.</w:t>
      </w:r>
    </w:p>
    <w:p w:rsidRPr="00A4268A">
      <w:pPr>
        <w:spacing w:before="240" w:line="276" w:lineRule="auto"/>
        <w:rPr>
          <w:rFonts w:eastAsia="Calibri"/>
        </w:rPr>
      </w:pPr>
      <w:r w:rsidRPr="00A4268A">
        <w:rPr>
          <w:rFonts w:eastAsia="Calibri"/>
        </w:rPr>
        <w:t>The service is managed by an experienced facility manager who has been in the position since 2018.  A registered nurse has oversight of clinical services in the facility.</w:t>
      </w:r>
    </w:p>
    <w:p w:rsidRPr="00A4268A">
      <w:pPr>
        <w:spacing w:before="240" w:line="276" w:lineRule="auto"/>
        <w:rPr>
          <w:rFonts w:eastAsia="Calibri"/>
        </w:rPr>
      </w:pPr>
      <w:r w:rsidRPr="00A4268A">
        <w:rPr>
          <w:rFonts w:eastAsia="Calibri"/>
        </w:rPr>
        <w:t>Quality and risk management systems are followed. There is an internal audit programme. Adverse events are documented on accident/incident forms.  Corrective action plans are developed, implemented, monitored and signed off as being completed to address the issue/s that require improvement.  Staff, management/quality and resident meetings are held on a regular basis.</w:t>
      </w:r>
    </w:p>
    <w:p w:rsidRPr="00A4268A">
      <w:pPr>
        <w:spacing w:before="240" w:line="276" w:lineRule="auto"/>
        <w:rPr>
          <w:rFonts w:eastAsia="Calibri"/>
        </w:rPr>
      </w:pPr>
      <w:r w:rsidRPr="00A4268A">
        <w:rPr>
          <w:rFonts w:eastAsia="Calibri"/>
        </w:rPr>
        <w:t xml:space="preserve">The hazard register evidenced review and updating of risks and the addition of new risks. </w:t>
      </w:r>
    </w:p>
    <w:p w:rsidRPr="00A4268A">
      <w:pPr>
        <w:spacing w:before="240" w:line="276" w:lineRule="auto"/>
        <w:rPr>
          <w:rFonts w:eastAsia="Calibri"/>
        </w:rPr>
      </w:pPr>
      <w:r w:rsidRPr="00A4268A">
        <w:rPr>
          <w:rFonts w:eastAsia="Calibri"/>
        </w:rPr>
        <w:t>Policies and procedures on human resources management are in place and processes are followed. An in-service education programme is provided, and staff performance is monitored.</w:t>
      </w:r>
    </w:p>
    <w:p w:rsidRPr="00A4268A">
      <w:pPr>
        <w:spacing w:before="240" w:line="276" w:lineRule="auto"/>
        <w:rPr>
          <w:rFonts w:eastAsia="Calibri"/>
        </w:rPr>
      </w:pPr>
      <w:r w:rsidRPr="00A4268A">
        <w:rPr>
          <w:rFonts w:eastAsia="Calibri"/>
        </w:rPr>
        <w:t xml:space="preserve">The documented rationale for determining staffing levels and skill mixes is based on best practice. Rostered staff are on call after hours.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Single accommodation is provided and apart from one room, all others have a wash hand basin and toilet. Adequate numbers of additional bathrooms and toilets are available. There is a lounge, a dining area and alcoves. External areas for sitting and shading are provided.</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managed on site. Cleaning and laundry processes are evaluated for effectiveness.</w:t>
      </w:r>
    </w:p>
    <w:p w:rsidRPr="00A4268A">
      <w:pPr>
        <w:spacing w:before="240" w:line="276" w:lineRule="auto"/>
        <w:rPr>
          <w:rFonts w:eastAsia="Calibri"/>
        </w:rPr>
      </w:pPr>
      <w:r w:rsidRPr="00A4268A">
        <w:rPr>
          <w:rFonts w:eastAsia="Calibri"/>
        </w:rPr>
        <w:t xml:space="preserve">An appropriate call bell system is available. Residents reported timely responses to call bells. Security and emergency systems are in place. </w:t>
      </w:r>
    </w:p>
    <w:p w:rsidRPr="00A4268A">
      <w:pPr>
        <w:spacing w:before="240" w:line="276" w:lineRule="auto"/>
        <w:rPr>
          <w:rFonts w:eastAsia="Calibri"/>
        </w:rPr>
      </w:pPr>
      <w:r w:rsidRPr="00A4268A">
        <w:rPr>
          <w:rFonts w:eastAsia="Calibri"/>
        </w:rPr>
        <w:t>Staff are trained in emergency procedures and emergency resources are readily available. Supplies are checked regularly. Fire evacuation procedures are held six monthly.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 facility has a philosophy of no restraint use. Restraints and enablers were not in use at the time of the audit. Use of enablers is voluntary for the safety of residents in response to individual requests. Staff interviewed demonstrated a knowledge and understanding of restraint minimisation and safe practice.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has been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23"/>
        <w:gridCol w:w="1280"/>
        <w:gridCol w:w="90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has developed policies, procedures, and processes to meet its obligations in relation to the Code of Health and Disability Services Consumers’ Rights (the Code). The interviewed staff demonstrated understanding of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registered nurse (RN) and care staff understood the principles and practice of informed consent. Informed consent policies provide relevant guidance to staff.  Informed consent has been gained appropriately using the organisation’s standard consent form. The consent forms were written in the residents’ language and English. Signed consent forms were sighted in the clinical files reviewed. Advance care directives were sighted where applicable. Staff were observed to gain consent for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given a copy of the Code, which includes information on the Advocacy Service during admission. Posters and brochures related to the Advocacy Service were displayed and available at the entrance table.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links with their family and the community by attending to a variety of organised outings, visits, shopping trips, activities, and entertainment. The facility has unrestricted visiting hours and encourages visits from residents’ family members and friends.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the management of complaints. The complaints and compliments forms and associated documents meet the requirements of Right 10 of the Code. Information on the complaint process is provided to residents and families on admission and was available in the facility. Residents and families knew how to make a complaint and to provide compliments. Complaint forms were observed at the front entrance.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evidenced there have been one complaint received in 2020 and none for 2021. Complaints is a standard item reported and discussed at staff and the quality meetings should there be any. Staff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reported being made aware of the Code and the Nationwide Health and Disability Advocacy Service (Advocacy Service) as part of the admission information provided and from discussions with staff on admission. The Code is in English and Chinese languages. The Code is displayed at the reception area together with information on advocacy services, complaints, and feedback forms. A copy of the Code is posted in each resident’s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residents receive services in a manner that has regard for their dignity, privacy, sexuality, spirituality, and choices. Residents’ personal belongings are labelled for easy identification and residents reported that they receive back their clothes after laundering in a timely manner. Staff maintained privacy during cares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attend to community activities and to participate in clubs of their choosing to maintain their independence. The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understood the service’s policy on abuse and neglect, including what to do should there be any signs. Education on abuse and neglect was confirmed to occur during orientation and annually. The interviewed GP and families have not witnessed or observed any abuse nor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identified as Maori on the days of the audit. There was a current Māori health plan developed with input from cultural advisers. The Maori health policy reflects the principles of the Treaty of Waitangi and the registered nurse (RN) stated these would be incorporated into daily practice when required.  Guidance on tikanga best practice was available. The interviewed RN understood the Treaty of Waitangi and the need to acknowledge cultural values and beliefs for individual people who identify as Maori.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individual culture, values and beliefs were identified on admission during the admission assessment. Interviewed residents and family/EPOA confirmed that they were consulted on individual values and beliefs and staff respected these. Residents’ personal preferences required interventions and special needs were included in the care plans reviewed. The resident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 members and the general practitioner (GP) interviewed stated that residents were free from any type of discrimination, harassment or exploitation and felt safe. The induction process for staff includes education related to professional boundaries, expected behaviours and the Code of Conduct.  These are included in the employee handbook and are discussed with all staff during orientation period. The registered nurse has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 wound care specialist, mental health services for older persons, and education of staff. The annual education planner included mandatory training topics.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though this was limited over the past year due to COVID-19 pandemic restrictions. Online education sessions are promoted.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Information on availability of interpreter services is included in the admission agreement. Staff knew how to access interpreter services, although reported this was rarely required due to all staff able to speak Cantonese or Mandarin and English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is one of four facilities owned and operated by the two owner/directors and they are involved in the business. A business and strategic plan 2021-2022 was reviewed and includes a mission statement, philosophy, goals, commitment, strengths, and challenges and threats. The goals are reviewed quarterly. The mission statement and philosophy of the organisation are displayed. One of the two owners/directors is currently completing the diversional therapy course and the other is responsible for any maintenance. The FM demonstrated a sound knowledge relating to all aspects of the service provided including the monitoring of performance. The owners/directors are on site at least three mornings a week and meet with the FM to discuss all activities relating to the facility. The FM also stated they communicate by phone every day. </w:t>
            </w:r>
          </w:p>
          <w:p w:rsidR="00EB7645" w:rsidRPr="00BE00C7" w:rsidP="00BE00C7">
            <w:pPr>
              <w:pStyle w:val="OutcomeDescription"/>
              <w:spacing w:before="120" w:after="120"/>
              <w:rPr>
                <w:rFonts w:cs="Arial"/>
                <w:b w:val="0"/>
                <w:lang w:eastAsia="en-NZ"/>
              </w:rPr>
            </w:pPr>
            <w:r w:rsidRPr="00BE00C7">
              <w:rPr>
                <w:rFonts w:cs="Arial"/>
                <w:b w:val="0"/>
                <w:lang w:eastAsia="en-NZ"/>
              </w:rPr>
              <w:t>The FM has been in the position since 2018 and has a diploma in business administration. The RN has been employed since 2019 and is experienced in aged care. The RN has a current practising certificate and is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Occupancy on the first day of the audit was 17, with all residents assessed as requiring rest home level care. All residents are under the aged related residential care services contract with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the FM is absent, the accountant and owner/director will cover non-clinical aspects of the service. During any absence of the RN, an RN who previously worked in the facility is contracted to fill the role. The FM is supported by the accountant, RN, and the owners/directors. Staff interviewed reported that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manual includes a quality and risk management plan with goals, objectives and continuous improvement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meetings are held quarterly and staff and residents’ meetings held monthly except during the Covid-19 lockdowns when memos and daily briefing were used to provide updates and information. Meeting minutes including quality data are available for staff to read.  Meeting minutes evidenced reporting of completed internal audits, quality data, including clinical indicators which are graphed. The FM is responsible for the quality and risk management processes and ensuring the organisation’s quality and risk management systems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indicators and quality improvement data are recorded on various registers and forms and were reviewed. There was documented evidence quality improvement data is being collected, collated, analysed and reported.  Data reviewed included adverse event forms, internal audits, meeting minutes, satisfaction surveys, infection rates and health and safety. Corrective action plans are being developed, implemented, monitored and signed off as being completed. Satisfaction surveys for 2020 evidenced residents and families are satisfied and very satisfied with the services provided. An annual review of all quality data for the year is completed and is compared with that of previous years. </w:t>
            </w:r>
          </w:p>
          <w:p w:rsidR="00EB7645" w:rsidRPr="00BE00C7" w:rsidP="00BE00C7">
            <w:pPr>
              <w:pStyle w:val="OutcomeDescription"/>
              <w:spacing w:before="120" w:after="120"/>
              <w:rPr>
                <w:rFonts w:cs="Arial"/>
                <w:b w:val="0"/>
                <w:lang w:eastAsia="en-NZ"/>
              </w:rPr>
            </w:pPr>
            <w:r w:rsidRPr="00BE00C7">
              <w:rPr>
                <w:rFonts w:cs="Arial"/>
                <w:b w:val="0"/>
                <w:lang w:eastAsia="en-NZ"/>
              </w:rPr>
              <w:t>A new documentation system from an external company was implemented in May 2020. Policies and procedures reviewed are relevant to the scope and complexity of the service, reflect current accepted good practice, and reference legislative requirements. Policies / procedures are available with systems in place for reviewing and updating the policies and procedures regularly including a policy for document update reviews and document control policy. Obsolete policies are archived. Staff confirmed they have been provided with the new policies and procedures and that they provide appropriate guidance for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associated with human resource management, legislative compliance, contractual and clinical risk. The hazard register identifies hazards and evidenced the actions put in place to isolate or eliminate risks. Newly found hazards are communicated to staff and residents as appropriate. The FM is the health and safety coordinator and is responsible for the management of hazards. The FM demonstrated a sound understanding of health and safety requirements.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documenting adverse, unplanned or untoward events on an accident/incident form including neurological observation and falls risk assessments following accidents/incidents as appropriate. Incident/accident forms are reviewed by the RN and the FM.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files evidenced communication with families following adverse events involving the resident, or any change in the resident’s condition.  Families confirmed they are advised in a timely manner following any adverse event or change in their relative’s condition. The satisfaction surveys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confirmed this.  Policy and procedures comply with essential notification reporting. The FM advised there have been no essential notifications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 job descriptions which outline accountability, responsibilities and authority, employment agreements, employee’s handbook, references, completed orientation, competency assessments, education records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in place and all new staff are required to complete this prior to their commencement of care to residents. New care staff are ‘buddied’ with an experienced caregiver for at least two shifts. Orientation for staff covers all essential components of the service provided and staff have three months to complete the entire process. Once completed, the FM and RN undertake a review with the staff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programme is the responsibility of the FM. In-service education is provided for staff at learning sessions, on-line, at handover where specific topics relating to residents’ health status is discussed and at staff meetings. Some sessions are provided by external educators.  Individual records of education are held on staff files. Attendance records are maintained and evidenced attendance at education sessions is high. Current competencies were sighted for a number of subjects including for interRAI, medication management and first aid.  A New Zealand Qualification Authority education programme is available for staff to complete and they are encouraged to do so. </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to provide safe service delivery. The FM reported dependency levels of residents and the physical environment are considered. The FM works full time Monday to Friday. The RN works Mondays, Thursdays and Fridays and more often if needed. The RN is experienced in aged care and has been employed since 2019. One owner/director visits three times a week in the mornings and helps with activities and cares. The accountant also carries out caregiving duties. A caregiver is rostered on the morning, afternoon and night shifts. A cleaner works Monday to Friday and two cooks work in the kitchen covering the week. Caregivers are responsible for laundry duties. Staff are rostered on-call after hours. The FM reported if they are short through sickness or leave, a staff member from one of the sister facilities nearby help with lending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reported all the residents are independent and mobile, including taking showers and dressing themselves. Staff reported there is adequate staff available and that they can get through the work allocated to them. Residents and families reported they are happy with the staffing levels and staff provide them or their relative with safe care. Observations during this audit confirmed residents to be independent and mobile and that adequate staff cover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information is in electronic form for care plans, interRAI assessments and GP notes. Progress notes, initial admission assessments and admission agreements were paper based. Records were legible with the name and designation of the person making the entry identifiable. All necessary demographic, personal, clinical and health information was fully completed in the residents’ files sampled for review. Clinical notes were current and integrated with GP and allied health service provider notes.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cataloguing system. Residents’ files are held for the required period before being destroyed. No personal or private residents’ information was on public display during the audit. The residents’ files were kept in the locked nurses’ station.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enquiries are managed by the facility manager and the RN. 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Eden Rest Home brochure and information on the facility’s website have detailed information on the services provided by the service. 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and the caregivers manage the exit, discharge, or transfer, with an escort provided as appropriate. The service uses the DHB’s ‘yellow envelope’ transfer system to facilitate transfer of residents to and from acute care services. There is open communication between all services, the resident and the family/whanau/EPOA. At the time of transition between services, appropriate information is provided for the ongoing management of the resident.  All referrals were documented in the progress notes. A patient recently transferred to the local acute care facility showed adequate information was shared to allow continuity of care.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The RN reported that if the needs of a resident change and they are no longer suitable for the services offered, a referral for reassessment to the NASC is made and a new placement found, in consultation with the resident and 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identified all aspects of medicine management in line with current legislative requirements and safe practice guidelines. The medicine management system in use is paper based. The caregiver who was observed administering medicines demonstrated good knowledge and had a clear understanding of their role and responsibilities related to each stage of medicine management. All staff who administer medicines had current medication administration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and conducts medication reconciliation when residents return to the facility from acute services or external appointments. The RN reported that expired and unwanted medicines are returned to the pharmacy for disposal. Clinical pharmacist input is provided on request.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three-monthly GP reviews were consistently recorded on the medicine charts. Standing orders are not used. The electronic prescription charts had current photos for residents’ identification and allergies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who were self-administering medicines at the time of audit. Appropriate processes were in place to ensure this was managed in a safe manner. All residents who self-administer medicines had current competencies in place.</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were documented, and corrective actions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controlled drugs kept on site. There is a secure controlled drugs cupboard in place that complies with the requirements for use if required.  The interviewed staff understood the management of controlled drugs.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is in line with recognised nutritional guidelines for older people. The menu follows summer and winter patterns on a four weekly cycle and was reviewed by a qualified dietitian on 28 January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city council. Food temperatures, including for high-risk items, are monitored appropriately, and recorded as part of the plan. The cooks have completed relevant food handling training and competency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Nutritional assessments were completed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 Culturally specific meals for the North and South of China are prepared for most of the residents except the resident who identifies as New Zealand European who has “Kiwi” meals prepared for them.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confirmed by resident and family interviews and satisfaction surveys. The food was served in the dining room and residents were offered extra servings if desired. Residents were given enough time to eat their meal in an unhurried fashion.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that if a referral is received but the prospective resident does not meet the entry criteria or there is no vacancy, the local NASC is advised to ensure the prospective resident and their family are supported to find an appropriate care alternative. When entry to the facility is declined, the prospective resident and/family are informed of the reason for the decline and of other options or alternative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was documented using validated nursing assessment tools, such as a pain scale, falls risk, skin integrity, nutritional screening, and continence, to identify any deficits and to inform care planning. Monthly nursing observations were completed and documented. Six-monthly interRAI reassessments were completed in a timely manner. All residents had current interRAI assessments. The sample of care plans reviewed had an integrated range of resident-related information.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evidenced service integration with progress notes, activities notes, medical and allied health professionals’ notations clearly written, informative and relevant.  Any change in care required was documented and verbally passed on to relevant staff. Short term care plans were completed for acute conditions and were closed off when conditions resolved.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reviewed documentation, observations and interviews verified that the care provided to residents was consistent with their needs, goals, and the plan of care. The interviewed GP verified that medical input was sought in a timely manner, that medical orders are followed, and care was implemented promptly. The caregivers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caregivers and the owner/director who is undergoing diversional therapy training. Residents’ needs, interests, abilities, and social requirements are assessed on admission using a social assessment and history form that is completed by the RN with input from the resident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oversees the programme and helps to formulate an activities programme that is meaningful to the residents. The resident’s activity needs are evaluated when there is significant change in their participation in activities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were offered. Residents and families are involved in evaluating and improving the programme through satisfaction surveys. The interviewed residents confirmed they find the programme satisfactory. Residents were observed participating in a variety of activities on the days of the audit. The activities on the programme includes short walks, shopping trips, tai chi, playing mah-jong, maja, yum cha and music. Video directed exercises occur every morning. The activities coordinator reported that the activities are flexible and can be changed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caregivers document in the progress notes each shift. Any changes noted are reported to the RN. This was verified in the residents’ files reviewed. Routine care plan evaluations were completed six-monthly following interRAI reassessment, or as residents’ needs changed. Where progress was different from expected, the service responded by initiating changes to the plan of care. Short-term care plans were consistently reviewed, and progress evaluated as clinically indicated. Completed short-term care plans were sighted for wound, urinary tract, and respiratory infections. Residents and families interviewed confirmed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is indicated or requested, the GP or RN sends a referral to seek specialist input. Copies of referrals were sighted in residents’ files, including to the mental health team, dietitian, eye specialists and wound specialist. The resident and the family are kept informed of the referral process, as confirmed by documentation and interviews. The GP confirmed that any acute/urgent referrals were attended to immediately, such as sending the resident to accident and emergency in an ambulance if the circumstances dictated. Referral documentation was sighted in the reviewed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are accessible for staff.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that expires on the 29 September 2021. There are appropriate systems in place to ensure the residents’ physical environment and facilities are fit for their purpose. Residents and families confirmed they can move freely around the facility and that the accommodation meets their or their relative’s needs. </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an adequate standard.  Maintenance is undertaken by one of the owner/directors. The testing and tagging of electrical equipment and calibration of bio-medical equipment was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The environment is conducive to the range of activities undertaken in the areas. Residents are protected from risks associated with being outside. Ramps are safe with appropriate handrails and non-slip surfaces.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All rooms, apart from one have ensuites consisting of a toilet and wash hand basin. There are additional toilets and showers near the residents’ rooms. Bathrooms have appropriately secured and approved handrails provided in the toilet/shower areas and other equipment and accessories are available to promote independence. A separate bathroom for staff and visitors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including equipment, to manoeuvre within. Bedrooms provide single accommodation and are a mix of different sizes. Rooms are personalised with furnishings, photographs and other personal items on display. Residents stated their bedrooms meet their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in the facility to store any mobility aids, such as walkers.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frequent. The dining and lounge area have adequate space and enable easy access for residents and staff. Residents can access areas for privacy. The furniture in the lounge and dining room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washed and dried on site. Caregivers are responsible for undertaking the laundry including residents’ personal clothing. Care staff demonstrated a sound knowledge of the laundry processes, dirty and clean flow and handling of any soiled linen. Residents and families interviewed reported that personal clothes are managed effectively and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to an adequate standard. The cleaner demonstrated good knowledge of the cleaning processes and has received appropriate training. Chemical are stored in a lockable cupboard and were in appropriately labelled refillable containers. Chemicals for the washing machine are provided in a closed system. The cleaning trolley is stored securely when not in use. 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5 September 2008. A fire evacuation drill takes place at least six monthly. The last one was held on the 3 February 2021 with a copy sent to the New Zealand Fire Service. The orientation programme includes fire safety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guidelines for all emergency planning, preparation and response are displayed and flip charts are displayed throughout the facility to guide staff. Disaster and civil defence planning guides direct the facility in their preparedness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torches, mobile phones and a gas barbecue were sighted and meet the requirements for the number of residents able to be accommodated at the facility. Water storage meets the requirements for the emergency water storage recommendations for the region.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bells were observed in service areas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Security cameras are situated in communal areas within the facility. A notice advising visitors was sighted at the front entrance. Doors and windows are locked at a predetermined time and the facility is checked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Heating is provided by electric and gas heaters. There are procedures to ensure the service is responsive to resident feedback in relation to heating and ventilation.  Residents are provided with safe ventilation, and an environment that is maintained at a comfortable temperature. All resident areas are provided with natural light. Residents and families reported the temperature is always comfortable. A covered decking is the designated smoking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has implemented an infection prevention and control (IPC) programme to minimise the risk of infection to residents, staff, and visitors. The programme is guided by a comprehensive and current infection control manual, with input from external expert services. The infection control programme was reviewed annually; last reviewed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control coordinator (ICC), whose role and responsibilities are defined in their job description. Infection control matters, including surveillance results, are reported monthly to the facility manager and owner/director, and tabled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that requests anyone who is, or has been unwell in the past 48 hours, not to enter the facility. The infection control manual provides guidance for staff about how long they must stay away from work if they have been unwell. The interviewed staff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There was a COVID-19 pandemic plan in place and current information on infection control measures and contact tracing requirements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The ICC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Adequate resources to support the programme and any outbreak of an infection were available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May 2020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The interviewed staff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education in infection prevention and control at orientation and ongoing education sessions. Education is provided by the ICC. Content of the training is documented and evaluated to ensure it is relevant, current, and understood. A record of attendance was maintained. When an infection outbreak or an increase in infection incidence has occurred, there was evidence that additional staff education has been provided in response.  An example of this occurred during the beginning of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on an individual basis and has included reminders about handwashing, advice about remaining in their room if they are unwell, and increasing fluids during hot weather. This was confirmed in the short-term care plans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the upper and lower respiratory, eye, ear, and multi-resistant organisms. The ICC reviews all reported infections, and these are documented. New infections and any required management plans are discussed at handover, to ensure early intervention occurs. The interviewed caregivers confirmed this. Internal audits were completed, and corrective actions were implemented as required.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Comparisons against the previous month were conducted and this was reported to the facility manager and the owner/director. The sampled surveillance data showed that minimal numbers of infections were recorded. One infection was recorded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of no restraint use. There were no residents using a restraint or enablers during the audit. Enablers were the least restrictive and used voluntarily should a resident request one. The FM demonstrated good knowledge relating to restraint minimisation. There is a restraint/enabler register should one be required. The policies and procedures have definitions of restraints and enablers. Staff demonstrated good knowledge about restraints and enablers and knew the difference between the two.</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Y&amp;P NZ Limited - Eden Rest Home</w:t>
    </w:r>
    <w:bookmarkEnd w:id="58"/>
    <w:r>
      <w:rPr>
        <w:rFonts w:cs="Arial"/>
        <w:sz w:val="16"/>
        <w:szCs w:val="20"/>
      </w:rPr>
      <w:tab/>
      <w:t xml:space="preserve">Date of Audit: </w:t>
    </w:r>
    <w:bookmarkStart w:id="59" w:name="AuditStartDate1"/>
    <w:r>
      <w:rPr>
        <w:rFonts w:cs="Arial"/>
        <w:sz w:val="16"/>
        <w:szCs w:val="20"/>
      </w:rPr>
      <w:t>23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