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Coast to Coast Hauora Trust - Heritage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Coast to Coast Hauora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Heritage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January 2021</w:t>
      </w:r>
      <w:bookmarkEnd w:id="7"/>
      <w:r w:rsidRPr="009418D4">
        <w:rPr>
          <w:rFonts w:cs="Arial"/>
        </w:rPr>
        <w:tab/>
        <w:t xml:space="preserve">End date: </w:t>
      </w:r>
      <w:bookmarkStart w:id="8" w:name="AuditEndDate"/>
      <w:r w:rsidR="00A4268A">
        <w:rPr>
          <w:rFonts w:cs="Arial"/>
        </w:rPr>
        <w:t>26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Heritage Rest Home provides rest home level care for up to 17 residents. The service is operated by the Coast to Coast Hauora Trust. An experienced nurse manager manages the day to day activities of the facility.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 Standards. The audit process included review of policies and procedures, review of residents’ and staff files, observations, and interviews with residents, family/whānau, management and staff.</w:t>
      </w:r>
    </w:p>
    <w:p w:rsidRPr="00A4268A">
      <w:pPr>
        <w:spacing w:before="240" w:line="276" w:lineRule="auto"/>
        <w:rPr>
          <w:rFonts w:eastAsia="Calibri"/>
        </w:rPr>
      </w:pPr>
      <w:r w:rsidRPr="00A4268A">
        <w:rPr>
          <w:rFonts w:eastAsia="Calibri"/>
        </w:rPr>
        <w:t>Areas requiring improvement from the previous audit relating to the complaints register, transcribing of medicines and reporting of infections to the surveillance programme have been addressed.</w:t>
      </w:r>
    </w:p>
    <w:p w:rsidRPr="00A4268A">
      <w:pPr>
        <w:spacing w:before="240" w:line="276" w:lineRule="auto"/>
        <w:rPr>
          <w:rFonts w:eastAsia="Calibri"/>
        </w:rPr>
      </w:pPr>
      <w:r w:rsidRPr="00A4268A">
        <w:rPr>
          <w:rFonts w:eastAsia="Calibri"/>
        </w:rPr>
        <w:t>Areas requiring improvement from this audit relate to the repair and maintenance of the building and the kitchen.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Effective communication to residents and their family/whānau/friends occurs and interpreter service can be accessed as required.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 investigations by an external agency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Coast to Coast Hauora Trust is the governing body and is responsible for the services provided. A business, quality and risk plans document a mission statement, philosophy, service scope risk management goals, objectives, and business risks. Systems are in place for monitoring the services provided. </w:t>
      </w:r>
    </w:p>
    <w:p w:rsidRPr="00A4268A">
      <w:pPr>
        <w:spacing w:before="240" w:line="276" w:lineRule="auto"/>
        <w:rPr>
          <w:rFonts w:eastAsia="Calibri"/>
        </w:rPr>
      </w:pPr>
      <w:r w:rsidRPr="00A4268A">
        <w:rPr>
          <w:rFonts w:eastAsia="Calibri"/>
        </w:rPr>
        <w:t>The chief executive officer who is a registered nurse has overview of the service and a nurse manager is responsible for the day to day running of the facility. The nurse manager has returned to the position after leaving in 2020 and has been in the position for nine years overall. The nurse manager is supported by the chief executive officer.</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Staff and resident meetings are held.</w:t>
      </w:r>
    </w:p>
    <w:p w:rsidRPr="00A4268A">
      <w:pPr>
        <w:spacing w:before="240" w:line="276" w:lineRule="auto"/>
        <w:rPr>
          <w:rFonts w:eastAsia="Calibri"/>
        </w:rPr>
      </w:pPr>
      <w:r w:rsidRPr="00A4268A">
        <w:rPr>
          <w:rFonts w:eastAsia="Calibri"/>
        </w:rPr>
        <w:t>There are policies and procedures on human resources management. Human resource processes are followed. An in-service education programme is provided, and staff performance is monitored. Care staff are encouraged to complete the New Zealand Qualifications Authority Unit Standards.</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nurse manager is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resident/family/whānau.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building warrant of fitness is displayed at the main entrance to the facility.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was a resident using a restraint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4"/>
        <w:gridCol w:w="1280"/>
        <w:gridCol w:w="99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is provided to residents and families on admission and there is complaints information and forms available at the main entrance. Residents and family/whānau stated that communication about anything they are concerned about is actioned immediately.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register and documentation and interview of the NM evidenced three complaints have been received since the previous audit. The complaints were relating to the same staff member by three different complainants. The staff member has since left employment. Review of documentation evidenced complaints concerning the facility are managed well and the timeframes meet Right 10 of the Code. The requirement from the previous audit is closed.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undertaken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stated they are kept well informed about any changes to their/their relative’s status and outcomes of regular and any urgent medical reviews. The resident/ family/whānau survey for 2020 confirmed this. This was also supported in the residents’ files reviewed. Staff understood the principles of open disclosure, which is supported by policy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if required, although the nurse manager (NM) stated this is rarely needed. Usually, family/whānau members or staff can be utilised.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Coast to Coast Hauora Trust (the Trust) is the governing body and is responsible for the services provided. A business plan 2021-2020 documents a mission statement, philosophy, service scope risk management goals, objectives, and business risks. </w:t>
            </w:r>
          </w:p>
          <w:p w:rsidR="00EB7645" w:rsidRPr="00BE00C7" w:rsidP="00BE00C7">
            <w:pPr>
              <w:pStyle w:val="OutcomeDescription"/>
              <w:spacing w:before="120" w:after="120"/>
              <w:rPr>
                <w:rFonts w:cs="Arial"/>
                <w:b w:val="0"/>
                <w:lang w:eastAsia="en-NZ"/>
              </w:rPr>
            </w:pPr>
            <w:r w:rsidRPr="00BE00C7">
              <w:rPr>
                <w:rFonts w:cs="Arial"/>
                <w:b w:val="0"/>
                <w:lang w:eastAsia="en-NZ"/>
              </w:rPr>
              <w:t>The day-to-day management of the service is the responsibility of the nurse manager with the overall operations provided by the chief executive officer (CEO) who is also an RN. The nurse manager left employment on the 20 November 2020 and a new nurse manager started in the position on the 3 November 2020. The new nurse manager left employment two months later and the previous nurse manager has returned until a new nurse manager has been recruited and orientated to the role. The nurse manager reported the Trust is currently advertising for a new nurse manager. The nurse manager works three days per week and stated the appropriate person at the DHB has been advised of the changes concerning the nurse manager and was advised during the audit to notify HealthCERT.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and NM meet formally two weekly and discuss all activities concerning Heritage Rest Home. Minutes of meetings and interview of the NM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for the annual general meeting include review of the goals in the business plan and a report by the nurse manager that includes but not limited to clinical indicators, survey results, complaints and maintenance of the building. </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accommodation for up to 17 residents. On the day of this audit there were 14 residents. Thirteen residents are under the age-related residential care contract and one resident is under an ACC contract. The service also holds a contract for respite care and primary options for acute care (POAC) contract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quality and risk management systems that guides the quality programme. Risk management activities are appropriate for the size and scope of the organisation. Quality data is collected, collated and analysed to identify any trends. Corrective action plans are developed in response to identified issues in a range of ways, including audits, incident/accident reports, complaints, surveys and deficits identified from meetings. Quality data is graphed month by month by the NM and is available for staff. Staff stated they discuss trends and corrective actions at the staff meetings and at handover. The NM demonstrated sound knowledge relating to quality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2020 were reviewed and responses demonstrated a high level of satisfaction and were complementary of the care provided especially the food service. Resident meetings minutes evidenced these are held on a regular basis, apart from during the Covid-19 lock downs. Quality and risk management issues are reported and discussed at management level and at the staff meetings. Review of the meeting minutes and interview of staff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fully imbedded and are relevant to the scope and complexity of the service, reflected current accepted good practice and reference legislative requirements. Policies and procedures are reviewed regularly and were current with a document review and amendment log kept. New / reviewed policies are available for staff to read and sign off once read. Staff confirmed the policies and procedures provided appropriate guidance for service delivery and they were advised of new policies/ revised policies. Obsolete documents are archived.</w:t>
            </w:r>
          </w:p>
          <w:p w:rsidR="00EB7645" w:rsidRPr="00BE00C7" w:rsidP="00BE00C7">
            <w:pPr>
              <w:pStyle w:val="OutcomeDescription"/>
              <w:spacing w:before="120" w:after="120"/>
              <w:rPr>
                <w:rFonts w:cs="Arial"/>
                <w:b w:val="0"/>
                <w:lang w:eastAsia="en-NZ"/>
              </w:rPr>
            </w:pPr>
            <w:r w:rsidRPr="00BE00C7">
              <w:rPr>
                <w:rFonts w:cs="Arial"/>
                <w:b w:val="0"/>
                <w:lang w:eastAsia="en-NZ"/>
              </w:rPr>
              <w:t>A risk register forms part of the quality plan and includes risks concerning both organisational and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policy covers all aspects of health and safety management.  Actual and potential risks are identified and documented in the hazard/risk register. The register identifies hazards/risks and showed the actions put in place to minimise or eliminate risks. Newly found hazards/risks are communicated to staff. Hazards and safety issues are discussed at staff meetings. The NM demonstrated a sound knowledge of health and safety.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incident/accident form. All forms are reviewed by the NM and the family/whānau contacted as appropriate. Incidents/accidents are investigated, action plans developed and actions followed-up in a timely manner. Adverse event data is collated and analysed by the NM and trends shared with staff through staff meetings and handover. Graphs are generated and give good information for staff. A register is kept with outcomes and improvements documented.</w:t>
            </w:r>
          </w:p>
          <w:p w:rsidR="00EB7645" w:rsidRPr="00BE00C7" w:rsidP="00BE00C7">
            <w:pPr>
              <w:pStyle w:val="OutcomeDescription"/>
              <w:spacing w:before="120" w:after="120"/>
              <w:rPr>
                <w:rFonts w:cs="Arial"/>
                <w:b w:val="0"/>
                <w:lang w:eastAsia="en-NZ"/>
              </w:rPr>
            </w:pPr>
            <w:r w:rsidRPr="00BE00C7">
              <w:rPr>
                <w:rFonts w:cs="Arial"/>
                <w:b w:val="0"/>
                <w:lang w:eastAsia="en-NZ"/>
              </w:rPr>
              <w:t>The NM stated there have been no essential notifications to external agencies since the last audit apart from the change to the NM position. The NM is aware of essential notification reporting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include job descriptions which outline accountability, responsibilities and authority, employment agreements, references, completed orientation, competency assessments, police and visa vetting and training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induction programme. Staff are ‘buddied’ and supported by an experienced staff member with several competencies to complete. Staff performance is reviewed at the end of six weeks by the NM and yearly thereafter unless there are performance issues. Staff performance appraisals were current.  Annual practising certificates were current for staff and contractors who required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NM. Records are held for staff attendance at training sessions. In-service education is provided for staff and there was documented evidenced that this was provided at least monthly. During the Covid-19 lock downs training was interrupted and has since resumed. The gerontology nurse specialist from the local DHB provides a variety of on-going training for staff throughout the year. All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competencies for senior care givers responsible for medicine management were current and other caregivers have a current ‘second checker’ competency for controlled drugs. </w:t>
            </w:r>
          </w:p>
          <w:p w:rsidR="00EB7645" w:rsidRPr="00BE00C7" w:rsidP="00BE00C7">
            <w:pPr>
              <w:pStyle w:val="OutcomeDescription"/>
              <w:spacing w:before="120" w:after="120"/>
              <w:rPr>
                <w:rFonts w:cs="Arial"/>
                <w:b w:val="0"/>
                <w:lang w:eastAsia="en-NZ"/>
              </w:rPr>
            </w:pPr>
            <w:r w:rsidRPr="00BE00C7">
              <w:rPr>
                <w:rFonts w:cs="Arial"/>
                <w:b w:val="0"/>
                <w:lang w:eastAsia="en-NZ"/>
              </w:rPr>
              <w:t>The Careerforce education programme is also available for staff to complete and staff are encouraged to do so. The team leader has level 4 and staff who have attained level 3 are currently completing level 4. One caregiver has level 2. An external person is the assessor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induction,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including acuity, skill mix of experienced staff and less experienced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advised there is a pool of two casual staff if needed. The NM reported the rosters are adjusted to meet the changing needs of residents, resident acuity including occupancy and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NM works three days per week- Monday, Thursday and Friday and is interRAI trained. Review of the rosters evidenced the team leader and a caregiver are on the morning shift, a team leader and a caregiver are on the afternoon shift and one caregiver on at night. Caregivers are responsible for the cleaning and laundry. The activities coordinator works Thursdays 10am to 3pm and caregivers are responsible for activities as well. The NM is on call seven days a week with back up from the medical centre and the CEO.</w:t>
            </w:r>
          </w:p>
          <w:p w:rsidR="00EB7645" w:rsidRPr="00BE00C7" w:rsidP="00BE00C7">
            <w:pPr>
              <w:pStyle w:val="OutcomeDescription"/>
              <w:spacing w:before="120" w:after="120"/>
              <w:rPr>
                <w:rFonts w:cs="Arial"/>
                <w:b w:val="0"/>
                <w:lang w:eastAsia="en-NZ"/>
              </w:rPr>
            </w:pPr>
            <w:r w:rsidRPr="00BE00C7">
              <w:rPr>
                <w:rFonts w:cs="Arial"/>
                <w:b w:val="0"/>
                <w:lang w:eastAsia="en-NZ"/>
              </w:rPr>
              <w:t>The kitchen has two cooks who provide the meal service seven days a week. The NM reported there is currently no maintenance person to attend to the general maintenance of the facility. Maintenance of the gardens and lawn mowing is contracted out.</w:t>
            </w:r>
          </w:p>
          <w:p w:rsidR="00EB7645" w:rsidRPr="00BE00C7" w:rsidP="00BE00C7">
            <w:pPr>
              <w:pStyle w:val="OutcomeDescription"/>
              <w:spacing w:before="120" w:after="120"/>
              <w:rPr>
                <w:rFonts w:cs="Arial"/>
                <w:b w:val="0"/>
                <w:lang w:eastAsia="en-NZ"/>
              </w:rPr>
            </w:pPr>
            <w:r w:rsidRPr="00BE00C7">
              <w:rPr>
                <w:rFonts w:cs="Arial"/>
                <w:b w:val="0"/>
                <w:lang w:eastAsia="en-NZ"/>
              </w:rPr>
              <w:t>Residents, family/whānau and staff interviewed reported satisfaction with the staffing levels. Staff reported they can get through their work. Observations during the audit confirmed staffing levels are adequate.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There are evidences of pharmacy involvement.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who were self-administering medications at the time of audit. Staff interviewed understands appropriate processes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cook and kitchen team, and is in line with recognised nutritional guidelines for older people. The menu follows summer and winter patterns and has been reviewed by a qualified dietitian and it is currently being reviewed.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Auckland Council effective from 28 August 2019.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family/whānau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residents, staff and family/whānau interviewed, verified that medical input is sought in a timely manner, that medical orders are followed.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A range of activities are provided as per the weekly activities calendar. Regular resident outings and active involvement in activities happening in the community are part of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Residents interviewed confirmed they enjoy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and 24-hour care records. If any change is noted, it is communicated to Registered Nurse or Medical Practitioner as required.</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wound.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at the entrance to the facility that expires of the 30 June 2021. There have been no structural alterations since the previous audit. The building internally and externally is not being maintained to an adequate standard and is in need of repairs, maintenance and painting. The kitchen is in need of modernising and the CEO reported there are plans to renovate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Chief Executive Officer and to the board. All the infections reported were entered onto the monthly report. Facility maintains low infection rate.</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preparedness document is sighted and staff interviewed are aware of this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includes a definition, assessment and evaluation details and complies with the requirements of the standard. There were no residents using an enabler and one resident using a restraint at the time of audit. The resident’s file reviewed and interview of the NM evidenced appropriate documentation is in place. Staff interviewed demonstrated sound knowledge of the difference between a restraint and an enabler and the process should a resident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6830"/>
        <w:gridCol w:w="1214"/>
        <w:gridCol w:w="28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can move freely around the facility and that the accommodation meets their needs. There is easy access to communal areas and observations during the audit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stated contractors are used for most maintenance, however, there is no person who undertakes general minor maintenance for the facility. The NM reported a builder is contracted, however, review of meeting minutes and interview of staff evidenced reporting of areas that need attention is reported month after month with little apparent action. A list of 20 issues was sighted including for example, the window in room 17 is coming out of the frame, laundry windows will not shut, issues with leaking spouting, putty around windows is missing allowing water in and several doors jam and cannot be shut. The auditor observed staff struggling to shut the door to the cupboard that holds the chemicals. </w:t>
            </w:r>
          </w:p>
          <w:p w:rsidR="00EB7645" w:rsidRPr="00BE00C7" w:rsidP="00BE00C7">
            <w:pPr>
              <w:pStyle w:val="OutcomeDescription"/>
              <w:spacing w:before="120" w:after="120"/>
              <w:rPr>
                <w:rFonts w:cs="Arial"/>
                <w:b w:val="0"/>
                <w:lang w:eastAsia="en-NZ"/>
              </w:rPr>
            </w:pPr>
            <w:r w:rsidRPr="00BE00C7">
              <w:rPr>
                <w:rFonts w:cs="Arial"/>
                <w:b w:val="0"/>
                <w:lang w:eastAsia="en-NZ"/>
              </w:rPr>
              <w:t>The kitchen is worn with the vinyl flooring torn, the bench top has worn through the surface in places, the cupboard surfaces are worn and not made of impervious material, which has the potential for infection control issues. The CEO advised there are plans to renovate the kitchen and it is intended this will start in March 2021. However, this will depend on securing funding.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externally is in need of repair and maintenance. Most of the building has paint peeling off and, in some areas, this is down to the bare timber with areas of dry rot evident.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both internally and externally is not being maintained to an adequate standard.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of (i) a plan and timeframes for the repair and maintenance of the building and evidence that the items listed on the ‘maintenance sheet’ are addressed, (ii) progress relating to the renovation of the kitchen and if funding is not secured, evidence that the areas in need of repair and maintenance are addressed.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Coast to Coast Hauora Trust - Heritage Rest Home</w:t>
    </w:r>
    <w:bookmarkEnd w:id="58"/>
    <w:r>
      <w:rPr>
        <w:rFonts w:cs="Arial"/>
        <w:sz w:val="16"/>
        <w:szCs w:val="20"/>
      </w:rPr>
      <w:tab/>
      <w:t xml:space="preserve">Date of Audit: </w:t>
    </w:r>
    <w:bookmarkStart w:id="59" w:name="AuditStartDate1"/>
    <w:r>
      <w:rPr>
        <w:rFonts w:cs="Arial"/>
        <w:sz w:val="16"/>
        <w:szCs w:val="20"/>
      </w:rPr>
      <w:t>26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