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Tamahere Eventide Home Trust - Atawhai Assisi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Tamahere Eventide Home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Atawhai Assisi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March 2021</w:t>
      </w:r>
      <w:bookmarkEnd w:id="7"/>
      <w:r w:rsidRPr="009418D4">
        <w:rPr>
          <w:rFonts w:cs="Arial"/>
        </w:rPr>
        <w:tab/>
        <w:t xml:space="preserve">End date: </w:t>
      </w:r>
      <w:bookmarkStart w:id="8" w:name="AuditEndDate"/>
      <w:r w:rsidR="00A4268A">
        <w:rPr>
          <w:rFonts w:cs="Arial"/>
        </w:rPr>
        <w:t>10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Assisi Atawhai Home and Hospital provides rest home and hospital level care for up to 86 residents. The service is operated by The Tamahere Eventide Home Trust Board and is managed by a chief executive officer (CEO) and general managers (GM). The most significant change to governance and operations since the previous audit in February 2019, is the appointment of a new GM who works on site Monday to Friday and two new trustees.</w:t>
      </w:r>
    </w:p>
    <w:p w:rsidRPr="00A4268A">
      <w:pPr>
        <w:spacing w:before="240" w:line="276" w:lineRule="auto"/>
        <w:rPr>
          <w:rFonts w:eastAsia="Calibri"/>
        </w:rPr>
      </w:pPr>
      <w:r w:rsidRPr="00A4268A">
        <w:rPr>
          <w:rFonts w:eastAsia="Calibri"/>
        </w:rPr>
        <w:t>This unannounced surveillance audit was conducted against the Health and Disability Services Standards and the service’s contract with the Waikato District Health Board (WDHB). The audit process included review of documents including residents’ and staff files, observations and interviews with residents, family members, managers, staff, a general practitioner (GP) and a nurse practitioner who was onsite. Residents and their families spoke positively about the care provided.</w:t>
      </w:r>
    </w:p>
    <w:p w:rsidRPr="00A4268A">
      <w:pPr>
        <w:spacing w:before="240" w:line="276" w:lineRule="auto"/>
        <w:rPr>
          <w:rFonts w:eastAsia="Calibri"/>
        </w:rPr>
      </w:pPr>
      <w:r w:rsidRPr="00A4268A">
        <w:rPr>
          <w:rFonts w:eastAsia="Calibri"/>
        </w:rPr>
        <w:t xml:space="preserve">There was one criterion rated as partially attained which requires two improvements. Both of these relate to resident care plans.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Implemented systems and the environment is conducive to effective communication. The complaints management system meets the requirements of the Code and is known by staff, residents and their families. There have been no serious complaint investigations since the previous audit. Families reported that staff immediately respond to and begin to address any concerns they raise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Experienced and suitably qualified people manage the services being delivered.  </w:t>
      </w:r>
    </w:p>
    <w:p w:rsidRPr="00A4268A">
      <w:pPr>
        <w:spacing w:before="240" w:line="276" w:lineRule="auto"/>
        <w:rPr>
          <w:rFonts w:eastAsia="Calibri"/>
        </w:rPr>
      </w:pPr>
      <w:r w:rsidRPr="00A4268A">
        <w:rPr>
          <w:rFonts w:eastAsia="Calibri"/>
        </w:rPr>
        <w:t xml:space="preserve">The quality and risk management system includes monitoring service delivery and other operations against key performance indicators. Quality improvement data is collected and benchmarked nationally. Outcomes are analysed for trends and lead to improvements. Staff are involved, and feedback is sought from residents and families. </w:t>
      </w:r>
    </w:p>
    <w:p w:rsidRPr="00A4268A">
      <w:pPr>
        <w:spacing w:before="240" w:line="276" w:lineRule="auto"/>
        <w:rPr>
          <w:rFonts w:eastAsia="Calibri"/>
        </w:rPr>
      </w:pPr>
      <w:r w:rsidRPr="00A4268A">
        <w:rPr>
          <w:rFonts w:eastAsia="Calibri"/>
        </w:rPr>
        <w:t xml:space="preserve">Adverse events are documented with corrective actions implemented. Actual and potential risks, including health and safety risks, are identified and mitigated. Policies and procedures support service delivery. These were current and are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w:t>
      </w:r>
    </w:p>
    <w:p w:rsidRPr="00A4268A">
      <w:pPr>
        <w:spacing w:before="240" w:line="276" w:lineRule="auto"/>
        <w:rPr>
          <w:rFonts w:eastAsia="Calibri"/>
        </w:rPr>
      </w:pPr>
      <w:r w:rsidRPr="00A4268A">
        <w:rPr>
          <w:rFonts w:eastAsia="Calibri"/>
        </w:rPr>
        <w:t>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is coordinated in a manner that promotes continuity in service delivery and promotes a team approach to care delivery.  There are policies in place to support assessment, planning, provision of care, evaluation, and transfers for residents to safely meet the needs of the residents and contractual requirements. </w:t>
      </w:r>
    </w:p>
    <w:p w:rsidRPr="00A4268A" w:rsidP="00621629">
      <w:pPr>
        <w:spacing w:before="240" w:line="276" w:lineRule="auto"/>
        <w:rPr>
          <w:rFonts w:eastAsia="Calibri"/>
        </w:rPr>
      </w:pPr>
      <w:r w:rsidRPr="00A4268A">
        <w:rPr>
          <w:rFonts w:eastAsia="Calibri"/>
        </w:rPr>
        <w:t xml:space="preserve">Residents have interRAI assessments completed and individualised care plans related to this programme.  All care plans are evaluated at least six monthly.  </w:t>
      </w:r>
    </w:p>
    <w:p w:rsidRPr="00A4268A" w:rsidP="00621629">
      <w:pPr>
        <w:spacing w:before="240" w:line="276" w:lineRule="auto"/>
        <w:rPr>
          <w:rFonts w:eastAsia="Calibri"/>
        </w:rPr>
      </w:pPr>
      <w:r w:rsidRPr="00A4268A">
        <w:rPr>
          <w:rFonts w:eastAsia="Calibri"/>
        </w:rPr>
        <w:t xml:space="preserve">The service provides planned activities meeting the needs of the residents as individuals and in group settings.  </w:t>
      </w:r>
    </w:p>
    <w:p w:rsidRPr="00A4268A" w:rsidP="00621629">
      <w:pPr>
        <w:spacing w:before="240" w:line="276" w:lineRule="auto"/>
        <w:rPr>
          <w:rFonts w:eastAsia="Calibri"/>
        </w:rPr>
      </w:pPr>
      <w:r w:rsidRPr="00A4268A">
        <w:rPr>
          <w:rFonts w:eastAsia="Calibri"/>
        </w:rPr>
        <w:t xml:space="preserve">The onsite kitchen provides and caters for residents with food available 24 hours of the day and specific dietary likes and dislikes accommodated. The service has a six-week rotating menu which has been approved by a registered dietitian. Residents’ nutritional requirements are met.   </w:t>
      </w:r>
    </w:p>
    <w:p w:rsidRPr="00A4268A" w:rsidP="00621629">
      <w:pPr>
        <w:spacing w:before="240" w:line="276" w:lineRule="auto"/>
        <w:rPr>
          <w:rFonts w:eastAsia="Calibri"/>
        </w:rPr>
      </w:pPr>
      <w:r w:rsidRPr="00A4268A">
        <w:rPr>
          <w:rFonts w:eastAsia="Calibri"/>
        </w:rPr>
        <w:t>Medication policy identifies current best practice for medication management.  Staff who administer medication have completed a medication competency in the last 12 months.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have been no changes to the structure of the buildings since the previous audit. Building improvements for safety and enhancements are ongoing. 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processes adhere to this standard. On the days of audit there were six residents in the hospital with restraint interventions in place and six residents in the rest home using enablers (bed levers) voluntarily to assist them with positioning in bed.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completed every month.  Results of surveillance are reviewed to assist in minimising and reducing the risk of infection.  The infection surveillance results are reported back to staff and residents, where appropriate,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9"/>
        <w:gridCol w:w="1280"/>
        <w:gridCol w:w="103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of Health and Disability Services Consumers’ Rights (the Code).  Information on the complaint process is provided to residents and families on admission and those interviewed knew what to do if they had concerns.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contained one complaint received since the previous certification audit in 2019 and there were no known complaints to the office of the Health and Disability Commissioner. Records and interview with the GM revealed that a letter of acknowledgement, ongoing communication and investigations into the matter had been completed within acceptable timeframes.  The complaint was resolved and closed.</w:t>
            </w:r>
          </w:p>
          <w:p w:rsidR="00EB7645" w:rsidRPr="00BE00C7" w:rsidP="00BE00C7">
            <w:pPr>
              <w:pStyle w:val="OutcomeDescription"/>
              <w:spacing w:before="120" w:after="120"/>
              <w:rPr>
                <w:rFonts w:cs="Arial"/>
                <w:b w:val="0"/>
                <w:lang w:eastAsia="en-NZ"/>
              </w:rPr>
            </w:pPr>
            <w:r w:rsidRPr="00BE00C7">
              <w:rPr>
                <w:rFonts w:cs="Arial"/>
                <w:b w:val="0"/>
                <w:lang w:eastAsia="en-NZ"/>
              </w:rPr>
              <w:t>The GM is responsible for complaints management and follow up.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relative’s status, and were advised in a timely manner about any incidents or accidents. Communication about the outcomes of, and invitations to participate in regular or urgent medical reviews were forthcoming. This was supported in the residents’ records reviewed.  Staff and the managers interviewed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 interpreter policy and staff know how to access interpreter services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Tamahere Eventide Trust the organisation who operate Atawhai Assisi and the Eventide Home and Hospital. The documents described annual and longer-term objectives and the associated operational plans. Interview with the CEO and a sample of reports to the trust board showed adequate information to monitor performance is reported including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The CEO who has overall responsibility for both facilities has been in the role for 30 years. The organisational structure was recently reviewed which resulted in some changes within the senior management team. A new GM has been appointed to be on site at Atawhai Assisi during business hours. The previous system of having one GM care for services across two sites was proving to be unsustainable. The new GM is a registered nurse who has been employed by the trust for five years and until recently was the clinical nurse leader for dementia care. Responsibilities and accountabilities are described in a job description and individual employment agreement. Senior management interviewed demonstrated knowledge of the sector, regulatory and reporting requirements and attend ongoing education in management and/or the clinical care of older people.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holds agreements with Waikato DHB for aged residential care-rest home, hospital and palliative, respite services, long term support-chronic health conditions (LTS-CHC) and a community day programme. </w:t>
            </w:r>
          </w:p>
          <w:p w:rsidR="00EB7645" w:rsidRPr="00BE00C7" w:rsidP="00BE00C7">
            <w:pPr>
              <w:pStyle w:val="OutcomeDescription"/>
              <w:spacing w:before="120" w:after="120"/>
              <w:rPr>
                <w:rFonts w:cs="Arial"/>
                <w:b w:val="0"/>
                <w:lang w:eastAsia="en-NZ"/>
              </w:rPr>
            </w:pPr>
            <w:r w:rsidRPr="00BE00C7">
              <w:rPr>
                <w:rFonts w:cs="Arial"/>
                <w:b w:val="0"/>
                <w:lang w:eastAsia="en-NZ"/>
              </w:rPr>
              <w:t>On the days of audit there were 81 residents occupying beds. Thirty-five were assessed as requiring rest home level care, which included four respite residents. There were forty-six hospital level care residents including one respite resident and two LTS-CHC residents under 65 years of age. These numbers were consistent with the level of care report held in the interRAI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at Atawhai Assisi are now conversant with the quality and risk systems in use across both care facilities. Responsibility for quality is shared across the senior management team with staff input at various stages. The system includes collation of key performance indicators/quality data which is submitted quarterly for comparison with like size age care facilities across New Zealand. The CEO and the GM review and analyse all incidents, infections and complaints, and the results of resident and family satisfaction surveys for trends or areas requiring improvement. When these are identified, causes are researched and remedial actions are agreed and implemented. The organisation has robust systems for monitoring of service and organisational performance. Outcomes of service performance monitoring are shared with all staff. This was evidenced in staff meeting minutes, in memos and communication books and by information displayed in staff areas.</w:t>
            </w:r>
          </w:p>
          <w:p w:rsidR="00EB7645" w:rsidRPr="00BE00C7" w:rsidP="00BE00C7">
            <w:pPr>
              <w:pStyle w:val="OutcomeDescription"/>
              <w:spacing w:before="120" w:after="120"/>
              <w:rPr>
                <w:rFonts w:cs="Arial"/>
                <w:b w:val="0"/>
                <w:lang w:eastAsia="en-NZ"/>
              </w:rPr>
            </w:pPr>
            <w:r w:rsidRPr="00BE00C7">
              <w:rPr>
                <w:rFonts w:cs="Arial"/>
                <w:b w:val="0"/>
                <w:lang w:eastAsia="en-NZ"/>
              </w:rPr>
              <w:t>Quality data and information is reported and discussed at regular staff meetings for example, monthly RN meetings, wing meetings for caregivers in the hospital and rest home, allied health staff, and the health and safety representatives. Staff reported their involvement in quality and risk management activities through audit activities, training and information shared at meetings. The GM keeps staff informed about areas requiring improvement or policy/process changes by memos and verbally at meetings. Results of the 2020 resident satisfaction surveys showed no significant issues and a satisfaction rating of 84.28%.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policies used are a generic system moderated by an external quality consultant and these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A current risk management plan is monitored by the CEO and the Board. All senior management staff are conversant with the Health and Safety at Work Act (2015) and demonstrated knowledge of the requirements for identification, monitoring, review and reporting of risks and development of mitigation strategies. The site hazard register had just been reviewed by an external health and safety consultant.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well established and managed processes for the reporting, recording, investigation and review of all incidents and accidents. Review of onsite documents and interviews with staff and management confirmed these are reviewed and discussed at staff meetings and then trended and further evaluated quarterly by the CEO and other senior managers. Avoidable events are evaluated and actions are implemented to prevent recurrence.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and review of incident data confirmed that incidents are discussed at shift handover, and trending data is displayed in staff areas. Each resident’s care record contained a summary of incidents which facilitates a ready review of risks.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CEO is responsible for essential notifications and reporting and understood the statutory and regulatory obligations. Section 31 notifications have been submitted for changes in board membership, and the new GM. There had been no incidents which required notification since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management policies and processes are based on good employment practice and relevant legislation. The recruitment process includes referee checks, police vetting and validation of qualifications and practising certificates (APCs), where required.   The staff records sampled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new staff have one to one time with the clinical nurse educator (CNE) before starting work and then return for a mandatory orientation day which occurs monthly. An orientation day was in process on day one of this audit. New staff reported that the orientation process prepared them well for their role.  Staff records showed documentation of completed orientation followed by an initial performance review after 90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All care staff are expected to commence age care sector training (as outlined in their pay equity settlement) three months after commencing employment if they do not already have qualifications. The CNE is an authorised moderator of the education programme provided on site. On the days of audit, 27 of the 60 carers had completed the Limited Career Pathway-dementia module, thirteen had achieved level 4 of the National Certificate in Health and Wellness, 17 had completed level 3 and two were at level 2. </w:t>
            </w:r>
          </w:p>
          <w:p w:rsidR="00EB7645" w:rsidRPr="00BE00C7" w:rsidP="00BE00C7">
            <w:pPr>
              <w:pStyle w:val="OutcomeDescription"/>
              <w:spacing w:before="120" w:after="120"/>
              <w:rPr>
                <w:rFonts w:cs="Arial"/>
                <w:b w:val="0"/>
                <w:lang w:eastAsia="en-NZ"/>
              </w:rPr>
            </w:pPr>
            <w:r w:rsidRPr="00BE00C7">
              <w:rPr>
                <w:rFonts w:cs="Arial"/>
                <w:b w:val="0"/>
                <w:lang w:eastAsia="en-NZ"/>
              </w:rPr>
              <w:t>Each of the staff files sampled contained evidence of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Fourteen of the seventeen RNs (including the CNL and GM) employed are maintaining annual competency requirements to undertake interRAI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more than the required numbers of staff allocated (as per the ARC contract) on each shift in the rest home and hospital wings.</w:t>
            </w:r>
          </w:p>
          <w:p w:rsidR="00EB7645" w:rsidRPr="00BE00C7" w:rsidP="00BE00C7">
            <w:pPr>
              <w:pStyle w:val="OutcomeDescription"/>
              <w:spacing w:before="120" w:after="120"/>
              <w:rPr>
                <w:rFonts w:cs="Arial"/>
                <w:b w:val="0"/>
                <w:lang w:eastAsia="en-NZ"/>
              </w:rPr>
            </w:pPr>
            <w:r w:rsidRPr="00BE00C7">
              <w:rPr>
                <w:rFonts w:cs="Arial"/>
                <w:b w:val="0"/>
                <w:lang w:eastAsia="en-NZ"/>
              </w:rPr>
              <w:t>A full time clinical nurse leader (CNL) oversees the care being delivered to rest home residents Monday to Friday, along with another CNL who oversees hospital level care.</w:t>
            </w:r>
          </w:p>
          <w:p w:rsidR="00EB7645" w:rsidRPr="00BE00C7" w:rsidP="00BE00C7">
            <w:pPr>
              <w:pStyle w:val="OutcomeDescription"/>
              <w:spacing w:before="120" w:after="120"/>
              <w:rPr>
                <w:rFonts w:cs="Arial"/>
                <w:b w:val="0"/>
                <w:lang w:eastAsia="en-NZ"/>
              </w:rPr>
            </w:pPr>
            <w:r w:rsidRPr="00BE00C7">
              <w:rPr>
                <w:rFonts w:cs="Arial"/>
                <w:b w:val="0"/>
                <w:lang w:eastAsia="en-NZ"/>
              </w:rPr>
              <w:t>The rest home roster has four caregivers for the morning and afternoon shift (plus the CNL and an EN or RN) and an RN and caregiver at night. The hospital wing has 10 caregivers for the morning shift and eight in the afternoon (plus the CNL and two more RNs) with three caregivers and one RN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majority of staff work four days on and two days off. Caregivers are employed for guaranteed minimum hours of 31.5 hours and RNs for 37.3 hrs per week. A total of 13 RNs and two enrolled nurses allows for four RNs (plus the CNLs) to be on site for all morning and afternoon shifts and an RN on call after hours. There are two RNs on site at night and at least six staff members with a current first aid certificate on duty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staff interviewed said there were sufficient numbers of staff, for the needs of the residents, allocated across all shifts. Additional staff are rostered on when workloads increase for any reason. Reports showed agency staff usage has decreased.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appropriate number of dedicated auxiliary staff (for example, activities, rehabilitation, cooks, cleaners, management, administration and maintenance staff) for the size and scope of the service. Residents and family members interviewed expressed satisfaction with the availability of staff and the services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 Clinical pharmacist input is provided on request.</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reviewed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medicine chart.  Standing orders are not used.  Vaccines are not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five resident who self-administered medications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head chef, two supporting cooks and kitchen staff and was in line with recognised nutritional guidelines for older people.  The menu follows summer and winter patterns and has been reviewed by a qualified dietitian within the last two years.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Waikato District council and expires 9 May 2021.  A food safety verification audit was undertaken by the Waikato district council on the 11 November 2020 with no corrective actions identified.  The next audit is due 22 April 2022.  Food temperatures, including for high-risk items and the cleaning schedule is monitored appropriately, and recorded as part of the food control plan. The head chef has undertaken a safe food handling qualification, with supporting cooks having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There are 19 residents currently being supported by a menu provided by Pure foods which is an external company supporting residents requiring a nutritious softer textured menu.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and NP interviewed, verified that medical input is sought in a timely manner, that medical orders are followed, and the care provided is resident centred.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over seen by an allied health co-ordinator trained in sports and exercise and supported by three trained diversional therapists.  Two of the diversional therapists (DT) support residents in the hospital area, the third DT supports residents in the rest home.  The diversional therapist holds a national Certificate in Diversional Therapy.   The team of four work Monday to Friday between the hours of 9.30 am and 4.00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if any changes are identified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reflected residents’ goals, ordinary patterns of life and included normal community activities. Individual, group activities and regular events are offered. Residents and families are involved in evaluating and improving the programme through day-to-day discussions with residents and family.  There is a separate activities calendar for hospital and rest home residents with some combined activities.  Information about the activities was observed on day of audit on the notice boards and in the residents’ bedrooms.     Residents interviewed confirmed that ‘there is always something to do’ and find the programme busy, fun and interactive.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Not all care plans evaluated have oversight of a registered nurse (see criterion 1.3.3.1).    Where progress is different from expected, the service responds by initiating changes to the plan of care. Examples of short-term care plans being consistently reviewed, and progress evaluated as clinically indicated were noted for infections and wounds.  When necessary, and for unresolved problems, long term care plans are added to an updated.  Residents and families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building warrant of fitness expires 12 May 2021. There have been no changes to the structure of the buildings. All buildings, plant and equipment inspected during the audit were in good condition and showed evidence of being well maintained. Extensive remedial work on the interior and exterior of the buildings is ongoing. There have been no incidents related to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 respiratory tract infection, skin, wound, eye, gastro enteritis and other infections.  The IPC coordinator role is shared between the general manager and clinical nurse leader for the hospital.  Together they review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Trends are identified from the past year and is reported by General Manager whom them reports back to all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had a total of 61 infections since September 2020.  Residents’ files reviewed highlighted short term and long-term care planning to reduce and minimise the risk of infection. Care staff interviewed demonstrated knowledge of residents who have a higher risk of infections and the interventions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Learnings from the Covid-19 pandemic have been incorporated into practice, with additional staff education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restraint minimisation and safe practice policies and procedures meet the requirements of this standard and provide guidance on the safe use of both restraints and enablers. The CNL for the hospital is the nominated restraint coordinator, and the role and responsibilities are documented. This person provides support and oversight for enabler and restraint management throughout the facility and demonstrated a sound understanding of the organisation’s policies and procedures and the practices required from this standard. On the days of audit six hospital residents were using restraints. This included three with bed rails, one using a lap belt, and two requiring chair harnesses when sitting.  Six rest home residents had voluntary enablers in place, these were all bed levers to assist them with positioning.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61"/>
        <w:gridCol w:w="1280"/>
        <w:gridCol w:w="7824"/>
        <w:gridCol w:w="1370"/>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1.3.3.1</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undertaken by suitably qualified and/or experienced service providers who are competent to perform the function.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 home clinical nurse leader interviewed stated that both registered and enrolled nurses are responsible for developing residents’ long term care plans.  This information is gathered from the residents’ interRAI assessments/summaries and triggered clinical assessment protocols (CAPs), progress notes, other supporting documents, and discussions with other staff.  The care plans observed on the day were individual and specific to the resident and identified all needs required to support the resident while maintaining their independence.  Residents and families interviewed were happy with the care provided.    Care plans allocated to and developed by the enrolled nurse are not signed off by a registered nurse.     The outcome generated scores created from the interRAI assessments are documented in the residents’ electronic progress notes but not identified in the residents’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documented evidence that the long-term care plans created by the enrolled nurse are signed off by a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 outcome scores to support decision making for goals and interventions are not identified in the long-term care plans.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 registered nurse agrees to and signs of all resident care plans as per contractual requirements and scope of practice.</w:t>
            </w:r>
          </w:p>
          <w:p w:rsidR="00EB7645" w:rsidRPr="00BE00C7" w:rsidP="00BE00C7">
            <w:pPr>
              <w:pStyle w:val="OutcomeDescription"/>
              <w:spacing w:before="120" w:after="120"/>
              <w:rPr>
                <w:rFonts w:cs="Arial"/>
                <w:b w:val="0"/>
                <w:lang w:eastAsia="en-NZ"/>
              </w:rPr>
            </w:pPr>
            <w:r w:rsidRPr="00BE00C7">
              <w:rPr>
                <w:rFonts w:cs="Arial"/>
                <w:b w:val="0"/>
                <w:lang w:eastAsia="en-NZ"/>
              </w:rPr>
              <w:t>Ensure outcome scores generated by the interRAI assessment are documented in the long-term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Tamahere Eventide Home Trust - Atawhai Assisi Home and Hospital</w:t>
    </w:r>
    <w:bookmarkEnd w:id="58"/>
    <w:r>
      <w:rPr>
        <w:rFonts w:cs="Arial"/>
        <w:sz w:val="16"/>
        <w:szCs w:val="20"/>
      </w:rPr>
      <w:tab/>
      <w:t xml:space="preserve">Date of Audit: </w:t>
    </w:r>
    <w:bookmarkStart w:id="59" w:name="AuditStartDate1"/>
    <w:r>
      <w:rPr>
        <w:rFonts w:cs="Arial"/>
        <w:sz w:val="16"/>
        <w:szCs w:val="20"/>
      </w:rPr>
      <w:t>9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