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6D64" w14:textId="77777777" w:rsidR="00460D43" w:rsidRDefault="00E07784">
      <w:pPr>
        <w:pStyle w:val="Heading1"/>
        <w:rPr>
          <w:rFonts w:cs="Arial"/>
        </w:rPr>
      </w:pPr>
      <w:bookmarkStart w:id="0" w:name="PRMS_RIName"/>
      <w:r>
        <w:rPr>
          <w:rFonts w:cs="Arial"/>
        </w:rPr>
        <w:t>Hawke's Bay District Health Board</w:t>
      </w:r>
      <w:bookmarkEnd w:id="0"/>
    </w:p>
    <w:p w14:paraId="29075877" w14:textId="77777777" w:rsidR="00460D43" w:rsidRDefault="00E07784">
      <w:pPr>
        <w:pStyle w:val="Heading2"/>
        <w:spacing w:after="0"/>
        <w:rPr>
          <w:rFonts w:cs="Arial"/>
        </w:rPr>
      </w:pPr>
      <w:r>
        <w:rPr>
          <w:rFonts w:cs="Arial"/>
        </w:rPr>
        <w:t>Introduction</w:t>
      </w:r>
    </w:p>
    <w:p w14:paraId="19D99D7B" w14:textId="77777777" w:rsidR="00460D43" w:rsidRDefault="00E0778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4C7B3FC4" w14:textId="77777777" w:rsidR="00460D43" w:rsidRDefault="00E0778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2F4A1201" w14:textId="77777777" w:rsidR="00460D43" w:rsidRDefault="00E0778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7A174FF" w14:textId="77777777" w:rsidR="00460D43" w:rsidRDefault="00E07784"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1812432A" w14:textId="77777777" w:rsidR="00460D43" w:rsidRDefault="00E07784">
      <w:pPr>
        <w:spacing w:before="240" w:after="240"/>
        <w:rPr>
          <w:rFonts w:cs="Arial"/>
          <w:lang w:eastAsia="en-NZ"/>
        </w:rPr>
      </w:pPr>
      <w:r>
        <w:rPr>
          <w:rFonts w:cs="Arial"/>
          <w:lang w:eastAsia="en-NZ"/>
        </w:rPr>
        <w:t>The specifics of this audit included:</w:t>
      </w:r>
    </w:p>
    <w:p w14:paraId="0FA764A6" w14:textId="77777777" w:rsidR="009D18F5" w:rsidRPr="009D18F5" w:rsidRDefault="00E07784" w:rsidP="009D18F5">
      <w:pPr>
        <w:pBdr>
          <w:top w:val="single" w:sz="4" w:space="1" w:color="auto"/>
          <w:left w:val="single" w:sz="4" w:space="4" w:color="auto"/>
          <w:bottom w:val="single" w:sz="4" w:space="1" w:color="auto"/>
          <w:right w:val="single" w:sz="4" w:space="4" w:color="auto"/>
        </w:pBdr>
        <w:rPr>
          <w:rFonts w:cs="Arial"/>
        </w:rPr>
      </w:pPr>
    </w:p>
    <w:p w14:paraId="23CCE53C" w14:textId="77777777" w:rsidR="005A5115" w:rsidRPr="009418D4" w:rsidRDefault="00E0778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Hawke's Bay District Health Board</w:t>
      </w:r>
      <w:bookmarkEnd w:id="4"/>
    </w:p>
    <w:p w14:paraId="0682F9BB" w14:textId="77777777" w:rsidR="005A5115" w:rsidRPr="009418D4" w:rsidRDefault="00E077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Central Hawkes Bay Health Centre||Hawke's Bay Hospital||Springhill Treatment Centre||Wairoa Hospital &amp; Health Centre</w:t>
      </w:r>
      <w:bookmarkEnd w:id="5"/>
    </w:p>
    <w:p w14:paraId="69B3209F" w14:textId="77777777" w:rsidR="005A5115" w:rsidRPr="009418D4" w:rsidRDefault="00E077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w:t>
      </w:r>
      <w:r>
        <w:rPr>
          <w:rFonts w:cs="Arial"/>
        </w:rPr>
        <w:t>Hospital services - Mental health services; Hospital services - Children's health services; Residential disability services - Psychiatric; Hospital services - Surgical services; Hospital services - Maternity services</w:t>
      </w:r>
      <w:bookmarkEnd w:id="6"/>
    </w:p>
    <w:p w14:paraId="17F75B9D" w14:textId="77777777" w:rsidR="005A5115" w:rsidRPr="009418D4" w:rsidRDefault="00E077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27 January </w:t>
      </w:r>
      <w:r>
        <w:rPr>
          <w:rFonts w:cs="Arial"/>
        </w:rPr>
        <w:t>2021</w:t>
      </w:r>
      <w:bookmarkEnd w:id="7"/>
      <w:r w:rsidRPr="009418D4">
        <w:rPr>
          <w:rFonts w:cs="Arial"/>
        </w:rPr>
        <w:tab/>
        <w:t xml:space="preserve">End date: </w:t>
      </w:r>
      <w:bookmarkStart w:id="8" w:name="AuditEndDate"/>
      <w:r>
        <w:rPr>
          <w:rFonts w:cs="Arial"/>
        </w:rPr>
        <w:t>29 January 2021</w:t>
      </w:r>
      <w:bookmarkEnd w:id="8"/>
    </w:p>
    <w:p w14:paraId="07826670" w14:textId="77777777" w:rsidR="005A5115" w:rsidRPr="009418D4" w:rsidRDefault="00E0778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0A08658" w14:textId="77777777" w:rsidR="009D18F5" w:rsidRDefault="00E07784" w:rsidP="00E0778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206</w:t>
      </w:r>
      <w:bookmarkEnd w:id="10"/>
    </w:p>
    <w:p w14:paraId="194EA587" w14:textId="77777777" w:rsidR="00460D43" w:rsidRDefault="00E07784">
      <w:pPr>
        <w:pStyle w:val="Heading1"/>
        <w:rPr>
          <w:rFonts w:cs="Arial"/>
        </w:rPr>
      </w:pPr>
      <w:r>
        <w:rPr>
          <w:rFonts w:cs="Arial"/>
        </w:rPr>
        <w:lastRenderedPageBreak/>
        <w:t>Executive summary of the audit</w:t>
      </w:r>
    </w:p>
    <w:p w14:paraId="7930F16C" w14:textId="77777777" w:rsidR="00460D43" w:rsidRDefault="00E07784">
      <w:pPr>
        <w:pStyle w:val="Heading2"/>
        <w:rPr>
          <w:rFonts w:cs="Arial"/>
        </w:rPr>
      </w:pPr>
      <w:r>
        <w:rPr>
          <w:rFonts w:cs="Arial"/>
        </w:rPr>
        <w:t>Introduction</w:t>
      </w:r>
    </w:p>
    <w:p w14:paraId="65AAC414" w14:textId="77777777" w:rsidR="00460D43" w:rsidRDefault="00E07784">
      <w:pPr>
        <w:spacing w:before="240" w:after="240"/>
        <w:rPr>
          <w:rFonts w:cs="Arial"/>
          <w:lang w:eastAsia="en-NZ"/>
        </w:rPr>
      </w:pPr>
      <w:r>
        <w:rPr>
          <w:rFonts w:cs="Arial"/>
          <w:lang w:eastAsia="en-NZ"/>
        </w:rPr>
        <w:t>This section contains a summary</w:t>
      </w:r>
      <w:r>
        <w:rPr>
          <w:rFonts w:cs="Arial"/>
          <w:lang w:eastAsia="en-NZ"/>
        </w:rPr>
        <w:t xml:space="preserve"> of the auditors’ findings for this audit.  The information is grouped into the six outcome areas contained within the Health and Disability Services Standards:</w:t>
      </w:r>
    </w:p>
    <w:p w14:paraId="6331193E" w14:textId="77777777" w:rsidR="00460D43" w:rsidRDefault="00E07784">
      <w:pPr>
        <w:pStyle w:val="ListParagraph"/>
        <w:numPr>
          <w:ilvl w:val="0"/>
          <w:numId w:val="1"/>
        </w:numPr>
        <w:spacing w:before="240" w:after="240"/>
        <w:rPr>
          <w:rFonts w:cs="Arial"/>
          <w:lang w:eastAsia="en-NZ"/>
        </w:rPr>
      </w:pPr>
      <w:r>
        <w:rPr>
          <w:rFonts w:cs="Arial"/>
          <w:lang w:eastAsia="en-NZ"/>
        </w:rPr>
        <w:t>consumer rights</w:t>
      </w:r>
    </w:p>
    <w:p w14:paraId="6DA24187" w14:textId="77777777" w:rsidR="00460D43" w:rsidRDefault="00E07784">
      <w:pPr>
        <w:pStyle w:val="ListParagraph"/>
        <w:numPr>
          <w:ilvl w:val="0"/>
          <w:numId w:val="1"/>
        </w:numPr>
        <w:spacing w:before="240" w:after="240"/>
        <w:rPr>
          <w:rFonts w:cs="Arial"/>
          <w:lang w:eastAsia="en-NZ"/>
        </w:rPr>
      </w:pPr>
      <w:r>
        <w:rPr>
          <w:rFonts w:cs="Arial"/>
          <w:lang w:eastAsia="en-NZ"/>
        </w:rPr>
        <w:t>organisational management</w:t>
      </w:r>
    </w:p>
    <w:p w14:paraId="04B8C85D" w14:textId="77777777" w:rsidR="00460D43" w:rsidRDefault="00E07784">
      <w:pPr>
        <w:pStyle w:val="ListParagraph"/>
        <w:numPr>
          <w:ilvl w:val="0"/>
          <w:numId w:val="1"/>
        </w:numPr>
        <w:spacing w:before="240" w:after="240"/>
        <w:rPr>
          <w:rFonts w:cs="Arial"/>
          <w:lang w:eastAsia="en-NZ"/>
        </w:rPr>
      </w:pPr>
      <w:r>
        <w:rPr>
          <w:rFonts w:cs="Arial"/>
          <w:lang w:eastAsia="en-NZ"/>
        </w:rPr>
        <w:t>continuum of service delivery (the provision of servi</w:t>
      </w:r>
      <w:r>
        <w:rPr>
          <w:rFonts w:cs="Arial"/>
          <w:lang w:eastAsia="en-NZ"/>
        </w:rPr>
        <w:t>ces)</w:t>
      </w:r>
    </w:p>
    <w:p w14:paraId="3FEB560D" w14:textId="77777777" w:rsidR="00460D43" w:rsidRDefault="00E07784">
      <w:pPr>
        <w:pStyle w:val="ListParagraph"/>
        <w:numPr>
          <w:ilvl w:val="0"/>
          <w:numId w:val="1"/>
        </w:numPr>
        <w:spacing w:before="240" w:after="240"/>
        <w:rPr>
          <w:rFonts w:cs="Arial"/>
          <w:lang w:eastAsia="en-NZ"/>
        </w:rPr>
      </w:pPr>
      <w:r>
        <w:rPr>
          <w:rFonts w:cs="Arial"/>
          <w:lang w:eastAsia="en-NZ"/>
        </w:rPr>
        <w:t>safe and appropriate environment</w:t>
      </w:r>
    </w:p>
    <w:p w14:paraId="42510864" w14:textId="77777777" w:rsidR="00460D43" w:rsidRDefault="00E07784">
      <w:pPr>
        <w:pStyle w:val="ListParagraph"/>
        <w:numPr>
          <w:ilvl w:val="0"/>
          <w:numId w:val="1"/>
        </w:numPr>
        <w:spacing w:before="240" w:after="240"/>
        <w:rPr>
          <w:rFonts w:cs="Arial"/>
          <w:lang w:eastAsia="en-NZ"/>
        </w:rPr>
      </w:pPr>
      <w:r>
        <w:rPr>
          <w:rFonts w:cs="Arial"/>
          <w:lang w:eastAsia="en-NZ"/>
        </w:rPr>
        <w:t>restraint minimisation and safe practice</w:t>
      </w:r>
    </w:p>
    <w:p w14:paraId="39BBABBC" w14:textId="77777777" w:rsidR="00460D43" w:rsidRDefault="00E07784">
      <w:pPr>
        <w:pStyle w:val="ListParagraph"/>
        <w:numPr>
          <w:ilvl w:val="0"/>
          <w:numId w:val="1"/>
        </w:numPr>
        <w:spacing w:before="240" w:after="240"/>
        <w:rPr>
          <w:rFonts w:cs="Arial"/>
          <w:lang w:eastAsia="en-NZ"/>
        </w:rPr>
      </w:pPr>
      <w:r>
        <w:rPr>
          <w:rFonts w:cs="Arial"/>
          <w:lang w:eastAsia="en-NZ"/>
        </w:rPr>
        <w:t>infection prevention and control.</w:t>
      </w:r>
    </w:p>
    <w:p w14:paraId="6FB8291B" w14:textId="77777777" w:rsidR="00460D43" w:rsidRDefault="00E07784">
      <w:pPr>
        <w:pStyle w:val="Heading2"/>
        <w:spacing w:after="0"/>
        <w:rPr>
          <w:rFonts w:cs="Arial"/>
        </w:rPr>
      </w:pPr>
      <w:r>
        <w:rPr>
          <w:rFonts w:cs="Arial"/>
        </w:rPr>
        <w:t>General overview of the audit</w:t>
      </w:r>
    </w:p>
    <w:p w14:paraId="070DDA89" w14:textId="77777777" w:rsidR="00E536CC" w:rsidRDefault="00E07784">
      <w:pPr>
        <w:spacing w:before="240" w:line="276" w:lineRule="auto"/>
        <w:rPr>
          <w:rFonts w:eastAsia="Calibri"/>
        </w:rPr>
      </w:pPr>
      <w:bookmarkStart w:id="11" w:name="GeneralOverview"/>
      <w:r w:rsidRPr="00A4268A">
        <w:rPr>
          <w:rFonts w:eastAsia="Calibri"/>
        </w:rPr>
        <w:t xml:space="preserve">Hawke’s Bay </w:t>
      </w:r>
      <w:r w:rsidRPr="00A4268A">
        <w:rPr>
          <w:rFonts w:eastAsia="Calibri"/>
        </w:rPr>
        <w:t>District Health Board (HBDHB) provides services to around 160,000 people in the Hawke’s Bay region. Hospital services are provided from the Hawke’s Bay Soldiers Memorial Hospital (Hawke’s Bay Hospital) and rural health centres at Wairoa, Napier, Central Ha</w:t>
      </w:r>
      <w:r w:rsidRPr="00A4268A">
        <w:rPr>
          <w:rFonts w:eastAsia="Calibri"/>
        </w:rPr>
        <w:t>wke’s Bay and Springhill Treatment Centre. Services include medical, surgical, maternity, paediatrics, older persons/rehabilitation, and mental health and addiction services. These inpatient services are supported by a range of diagnostic, support and comm</w:t>
      </w:r>
      <w:r w:rsidRPr="00A4268A">
        <w:rPr>
          <w:rFonts w:eastAsia="Calibri"/>
        </w:rPr>
        <w:t>unity-based services. A strength of the DHB is its integrated approach to both planning and providing services across both primary and secondary care.</w:t>
      </w:r>
    </w:p>
    <w:p w14:paraId="398578A3" w14:textId="77777777" w:rsidR="0038377A" w:rsidRPr="00A4268A" w:rsidRDefault="00E07784">
      <w:pPr>
        <w:spacing w:before="240" w:line="276" w:lineRule="auto"/>
        <w:rPr>
          <w:rFonts w:eastAsia="Calibri"/>
        </w:rPr>
      </w:pPr>
      <w:r w:rsidRPr="00A4268A">
        <w:rPr>
          <w:rFonts w:eastAsia="Calibri"/>
        </w:rPr>
        <w:t>This three-day surveillance audit against the Health and Disability Services Standards, included a review</w:t>
      </w:r>
      <w:r w:rsidRPr="00A4268A">
        <w:rPr>
          <w:rFonts w:eastAsia="Calibri"/>
        </w:rPr>
        <w:t xml:space="preserve"> of quality and risk management systems, staffing requirements, clinical care and infection prevention and control.  Clinical records and other documentation were reviewed and patients and their families and staff were interviewed across a range of roles a</w:t>
      </w:r>
      <w:r w:rsidRPr="00A4268A">
        <w:rPr>
          <w:rFonts w:eastAsia="Calibri"/>
        </w:rPr>
        <w:t>nd departments. Auditors visited the Hawke’s Bay Hospital, Wairoa Hospital and the Springhill Treatment Centre.</w:t>
      </w:r>
    </w:p>
    <w:p w14:paraId="5071C7E6" w14:textId="77777777" w:rsidR="0038377A" w:rsidRPr="00A4268A" w:rsidRDefault="00E07784">
      <w:pPr>
        <w:spacing w:before="240" w:line="276" w:lineRule="auto"/>
        <w:rPr>
          <w:rFonts w:eastAsia="Calibri"/>
        </w:rPr>
      </w:pPr>
      <w:r w:rsidRPr="00A4268A">
        <w:rPr>
          <w:rFonts w:eastAsia="Calibri"/>
        </w:rPr>
        <w:lastRenderedPageBreak/>
        <w:t>This audit identified 17 areas that require improvement across the standards. These relate to documentation of open disclosure, advance directiv</w:t>
      </w:r>
      <w:r w:rsidRPr="00A4268A">
        <w:rPr>
          <w:rFonts w:eastAsia="Calibri"/>
        </w:rPr>
        <w:t>es, currency of policies, quality and risk management systems, orientation and training of staff and staffing requirements to meet patient demand. Improvements are also required in relation to clinical assessments, activities within the acute mental health</w:t>
      </w:r>
      <w:r w:rsidRPr="00A4268A">
        <w:rPr>
          <w:rFonts w:eastAsia="Calibri"/>
        </w:rPr>
        <w:t xml:space="preserve"> service, medication management, safe storage of food in ward areas, aspects of facilities and use of restraints and enablers. The areas relating to management of risk and staffing requirements have been rated as high risk, needing more urgent attention. E</w:t>
      </w:r>
      <w:r w:rsidRPr="00A4268A">
        <w:rPr>
          <w:rFonts w:eastAsia="Calibri"/>
        </w:rPr>
        <w:t xml:space="preserve">ight of the previous corrective actions required have been addressed and are closed. Work has been progressed in most other areas previously identified as needing improvement. </w:t>
      </w:r>
    </w:p>
    <w:bookmarkEnd w:id="11"/>
    <w:p w14:paraId="380EB5B8" w14:textId="77777777" w:rsidR="0038377A" w:rsidRPr="00A4268A" w:rsidRDefault="0038377A">
      <w:pPr>
        <w:spacing w:before="240" w:line="276" w:lineRule="auto"/>
        <w:rPr>
          <w:rFonts w:eastAsia="Calibri"/>
        </w:rPr>
      </w:pPr>
    </w:p>
    <w:p w14:paraId="275E34A7" w14:textId="77777777" w:rsidR="00460D43" w:rsidRDefault="00E07784" w:rsidP="000E6E02">
      <w:pPr>
        <w:pStyle w:val="Heading2"/>
        <w:spacing w:before="0"/>
        <w:rPr>
          <w:rFonts w:cs="Arial"/>
        </w:rPr>
      </w:pPr>
      <w:r>
        <w:rPr>
          <w:rFonts w:cs="Arial"/>
        </w:rPr>
        <w:t>Consumer rights</w:t>
      </w:r>
    </w:p>
    <w:p w14:paraId="6416B838" w14:textId="77777777" w:rsidR="00460D43" w:rsidRDefault="00E07784">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was visible around all areas of the </w:t>
      </w:r>
      <w:r w:rsidRPr="00A4268A">
        <w:rPr>
          <w:rFonts w:eastAsia="Calibri"/>
        </w:rPr>
        <w:t>hospital. Patients and families/whānau reported an awareness of the Code and that their rights were upheld. Open communication was seen occurring when necessary.</w:t>
      </w:r>
    </w:p>
    <w:p w14:paraId="56A6161B" w14:textId="77777777" w:rsidR="0038377A" w:rsidRPr="00A4268A" w:rsidRDefault="00E07784">
      <w:pPr>
        <w:spacing w:before="240" w:line="276" w:lineRule="auto"/>
        <w:rPr>
          <w:rFonts w:eastAsia="Calibri"/>
        </w:rPr>
      </w:pPr>
      <w:r w:rsidRPr="00A4268A">
        <w:rPr>
          <w:rFonts w:eastAsia="Calibri"/>
        </w:rPr>
        <w:t>There are sound processes in place for the management of consent for surgical procedures, anae</w:t>
      </w:r>
      <w:r w:rsidRPr="00A4268A">
        <w:rPr>
          <w:rFonts w:eastAsia="Calibri"/>
        </w:rPr>
        <w:t>sthetic, return of body parts and other procedures which may pose a risk, such as administration of blood.  These were known to staff and evident from documentation reviewed.  Patients and whānau reported they had sufficient information to make informed ch</w:t>
      </w:r>
      <w:r w:rsidRPr="00A4268A">
        <w:rPr>
          <w:rFonts w:eastAsia="Calibri"/>
        </w:rPr>
        <w:t>oices.  Advance directive work towards the Health Quality and Safety Commission initiative has commenced.</w:t>
      </w:r>
    </w:p>
    <w:p w14:paraId="3CAAFAE0" w14:textId="77777777" w:rsidR="0038377A" w:rsidRPr="00A4268A" w:rsidRDefault="00E07784">
      <w:pPr>
        <w:spacing w:before="240" w:line="276" w:lineRule="auto"/>
        <w:rPr>
          <w:rFonts w:eastAsia="Calibri"/>
        </w:rPr>
      </w:pPr>
      <w:r w:rsidRPr="00A4268A">
        <w:rPr>
          <w:rFonts w:eastAsia="Calibri"/>
        </w:rPr>
        <w:t>There is a documented complaints management system which meets the requirements of the Code.</w:t>
      </w:r>
    </w:p>
    <w:bookmarkEnd w:id="12"/>
    <w:p w14:paraId="066740E4" w14:textId="77777777" w:rsidR="0038377A" w:rsidRPr="00A4268A" w:rsidRDefault="0038377A">
      <w:pPr>
        <w:spacing w:before="240" w:line="276" w:lineRule="auto"/>
        <w:rPr>
          <w:rFonts w:eastAsia="Calibri"/>
        </w:rPr>
      </w:pPr>
    </w:p>
    <w:p w14:paraId="42311251" w14:textId="77777777" w:rsidR="00460D43" w:rsidRDefault="00E07784" w:rsidP="000E6E02">
      <w:pPr>
        <w:pStyle w:val="Heading2"/>
        <w:spacing w:before="0"/>
        <w:rPr>
          <w:rFonts w:cs="Arial"/>
        </w:rPr>
      </w:pPr>
      <w:r>
        <w:rPr>
          <w:rFonts w:cs="Arial"/>
        </w:rPr>
        <w:t>Organisational management</w:t>
      </w:r>
    </w:p>
    <w:p w14:paraId="6F987CB3" w14:textId="77777777" w:rsidR="00460D43" w:rsidRDefault="00E07784">
      <w:pPr>
        <w:spacing w:before="240" w:line="276" w:lineRule="auto"/>
        <w:rPr>
          <w:rFonts w:eastAsia="Calibri"/>
        </w:rPr>
      </w:pPr>
      <w:bookmarkStart w:id="13" w:name="OrganisationalManagement"/>
      <w:r w:rsidRPr="00A4268A">
        <w:rPr>
          <w:rFonts w:eastAsia="Calibri"/>
        </w:rPr>
        <w:t>The quality and risk management system has undergone several changes since the previous audit, with new reporting lines and roles. The quality and patient safety manager reports to the chief medical and dental officer who reports to the chief executive. Sy</w:t>
      </w:r>
      <w:r w:rsidRPr="00A4268A">
        <w:rPr>
          <w:rFonts w:eastAsia="Calibri"/>
        </w:rPr>
        <w:t>stems are variable at directorate level as the organisation moves into a quality systems ‘rebuilding’ phase. Work is continuing to develop clinical governance across the organisation and at directorate level with a greater emphasis on monitoring functions.</w:t>
      </w:r>
      <w:r w:rsidRPr="00A4268A">
        <w:rPr>
          <w:rFonts w:eastAsia="Calibri"/>
        </w:rPr>
        <w:t xml:space="preserve">  Good </w:t>
      </w:r>
      <w:r w:rsidRPr="00A4268A">
        <w:rPr>
          <w:rFonts w:eastAsia="Calibri"/>
        </w:rPr>
        <w:lastRenderedPageBreak/>
        <w:t>examples of reporting on quality and patient safety measures were noted supported through the business intelligence team. Improvement activity was evident as a result of adverse events reviews and is also being driven by increasing patient demand an</w:t>
      </w:r>
      <w:r w:rsidRPr="00A4268A">
        <w:rPr>
          <w:rFonts w:eastAsia="Calibri"/>
        </w:rPr>
        <w:t xml:space="preserve">d a need to improve patient flow through the inpatient services. </w:t>
      </w:r>
    </w:p>
    <w:p w14:paraId="47F4BF9C" w14:textId="77777777" w:rsidR="0038377A" w:rsidRPr="00A4268A" w:rsidRDefault="00E07784">
      <w:pPr>
        <w:spacing w:before="240" w:line="276" w:lineRule="auto"/>
        <w:rPr>
          <w:rFonts w:eastAsia="Calibri"/>
        </w:rPr>
      </w:pPr>
      <w:r w:rsidRPr="00A4268A">
        <w:rPr>
          <w:rFonts w:eastAsia="Calibri"/>
        </w:rPr>
        <w:t>Adverse events are managed through an electronic management system, with review and development of recommendations for improvements. Recommendations are well monitored to ensure completion a</w:t>
      </w:r>
      <w:r w:rsidRPr="00A4268A">
        <w:rPr>
          <w:rFonts w:eastAsia="Calibri"/>
        </w:rPr>
        <w:t>s intended.</w:t>
      </w:r>
    </w:p>
    <w:p w14:paraId="1367A2C2" w14:textId="77777777" w:rsidR="0038377A" w:rsidRPr="00A4268A" w:rsidRDefault="00E07784">
      <w:pPr>
        <w:spacing w:before="240" w:line="276" w:lineRule="auto"/>
        <w:rPr>
          <w:rFonts w:eastAsia="Calibri"/>
        </w:rPr>
      </w:pPr>
      <w:r w:rsidRPr="00A4268A">
        <w:rPr>
          <w:rFonts w:eastAsia="Calibri"/>
        </w:rPr>
        <w:t xml:space="preserve">Risks are reported to the Finance, Risk and Audit Committee and the Board. </w:t>
      </w:r>
    </w:p>
    <w:p w14:paraId="09DBB336" w14:textId="77777777" w:rsidR="0038377A" w:rsidRPr="00A4268A" w:rsidRDefault="00E07784">
      <w:pPr>
        <w:spacing w:before="240" w:line="276" w:lineRule="auto"/>
        <w:rPr>
          <w:rFonts w:eastAsia="Calibri"/>
        </w:rPr>
      </w:pPr>
      <w:r w:rsidRPr="00A4268A">
        <w:rPr>
          <w:rFonts w:eastAsia="Calibri"/>
        </w:rPr>
        <w:t xml:space="preserve">Staff reported good access to ongoing training. Work continues to identify mandatory training for some areas of staff. </w:t>
      </w:r>
    </w:p>
    <w:p w14:paraId="4C76E413" w14:textId="77777777" w:rsidR="0038377A" w:rsidRPr="00A4268A" w:rsidRDefault="00E07784">
      <w:pPr>
        <w:spacing w:before="240" w:line="276" w:lineRule="auto"/>
        <w:rPr>
          <w:rFonts w:eastAsia="Calibri"/>
        </w:rPr>
      </w:pPr>
      <w:r w:rsidRPr="00A4268A">
        <w:rPr>
          <w:rFonts w:eastAsia="Calibri"/>
        </w:rPr>
        <w:t>A range of mechanisms are used to ensure that th</w:t>
      </w:r>
      <w:r w:rsidRPr="00A4268A">
        <w:rPr>
          <w:rFonts w:eastAsia="Calibri"/>
        </w:rPr>
        <w:t>e right numbers of staff are available to meet the changing needs of patients across the services. The organisation is well progressed with the implementation of the Care Capacity Demand Management (CCDM) programme. Staff are well supported by several expe</w:t>
      </w:r>
      <w:r w:rsidRPr="00A4268A">
        <w:rPr>
          <w:rFonts w:eastAsia="Calibri"/>
        </w:rPr>
        <w:t xml:space="preserve">rt clinical roles and an experienced team who work out of the integrated operations centre. </w:t>
      </w:r>
    </w:p>
    <w:bookmarkEnd w:id="13"/>
    <w:p w14:paraId="0818955B" w14:textId="77777777" w:rsidR="0038377A" w:rsidRPr="00A4268A" w:rsidRDefault="0038377A">
      <w:pPr>
        <w:spacing w:before="240" w:line="276" w:lineRule="auto"/>
        <w:rPr>
          <w:rFonts w:eastAsia="Calibri"/>
        </w:rPr>
      </w:pPr>
    </w:p>
    <w:p w14:paraId="32267F7A" w14:textId="77777777" w:rsidR="00460D43" w:rsidRDefault="00E07784" w:rsidP="000E6E02">
      <w:pPr>
        <w:pStyle w:val="Heading2"/>
        <w:spacing w:before="0"/>
        <w:rPr>
          <w:rFonts w:cs="Arial"/>
        </w:rPr>
      </w:pPr>
      <w:r>
        <w:rPr>
          <w:rFonts w:cs="Arial"/>
        </w:rPr>
        <w:t>Continuum of service delivery</w:t>
      </w:r>
    </w:p>
    <w:p w14:paraId="09F546BD" w14:textId="77777777" w:rsidR="00E536CC" w:rsidRPr="005E14A4" w:rsidRDefault="00E07784" w:rsidP="00621629">
      <w:pPr>
        <w:spacing w:before="240" w:line="276" w:lineRule="auto"/>
        <w:rPr>
          <w:rFonts w:eastAsia="Calibri"/>
        </w:rPr>
      </w:pPr>
      <w:bookmarkStart w:id="14" w:name="ContinuumOfServiceDelivery"/>
      <w:r w:rsidRPr="00A4268A">
        <w:rPr>
          <w:rFonts w:eastAsia="Calibri"/>
        </w:rPr>
        <w:t>Three in-depth reviews of patients in three clinical areas were undertaken, one in maternity and two in mental health and addiction services. This was supplemented with additional information from incidental sampling of patients care in surgical, medical a</w:t>
      </w:r>
      <w:r w:rsidRPr="00A4268A">
        <w:rPr>
          <w:rFonts w:eastAsia="Calibri"/>
        </w:rPr>
        <w:t>nd paediatric wards and clinical departments (eg, emergency department, intensive care and operating theatre).  Four systems tracers were also conducted in relation to management of medication, the deteriorating patient, the prevention of falls, and infect</w:t>
      </w:r>
      <w:r w:rsidRPr="00A4268A">
        <w:rPr>
          <w:rFonts w:eastAsia="Calibri"/>
        </w:rPr>
        <w:t xml:space="preserve">ion prevention and control.  </w:t>
      </w:r>
    </w:p>
    <w:p w14:paraId="21A764DA" w14:textId="77777777" w:rsidR="0038377A" w:rsidRPr="00A4268A" w:rsidRDefault="00E07784" w:rsidP="00621629">
      <w:pPr>
        <w:spacing w:before="240" w:line="276" w:lineRule="auto"/>
        <w:rPr>
          <w:rFonts w:eastAsia="Calibri"/>
        </w:rPr>
      </w:pPr>
      <w:r w:rsidRPr="00A4268A">
        <w:rPr>
          <w:rFonts w:eastAsia="Calibri"/>
        </w:rPr>
        <w:t>Care is provided by suitably qualified and experienced staff who work in a multidisciplinary manner to provide timely care.  Investigations and assessments are undertaken and used to assist with developing patients’ plans of c</w:t>
      </w:r>
      <w:r w:rsidRPr="00A4268A">
        <w:rPr>
          <w:rFonts w:eastAsia="Calibri"/>
        </w:rPr>
        <w:t>are.  Service delivery overall meets the needs of the patients.  Discharge planning is actively occurring.  All patients and family members interviewed were complementary about services received and reported that ongoing communication with staff was timely</w:t>
      </w:r>
      <w:r w:rsidRPr="00A4268A">
        <w:rPr>
          <w:rFonts w:eastAsia="Calibri"/>
        </w:rPr>
        <w:t xml:space="preserve"> and clear.</w:t>
      </w:r>
    </w:p>
    <w:p w14:paraId="2DD4CEC5" w14:textId="77777777" w:rsidR="0038377A" w:rsidRPr="00A4268A" w:rsidRDefault="00E07784" w:rsidP="00621629">
      <w:pPr>
        <w:spacing w:before="240" w:line="276" w:lineRule="auto"/>
        <w:rPr>
          <w:rFonts w:eastAsia="Calibri"/>
        </w:rPr>
      </w:pPr>
      <w:r w:rsidRPr="00A4268A">
        <w:rPr>
          <w:rFonts w:eastAsia="Calibri"/>
        </w:rPr>
        <w:lastRenderedPageBreak/>
        <w:t xml:space="preserve">Medication management is guided by policy and was generally well managed.   </w:t>
      </w:r>
    </w:p>
    <w:bookmarkEnd w:id="14"/>
    <w:p w14:paraId="580D31A8" w14:textId="77777777" w:rsidR="0038377A" w:rsidRPr="00A4268A" w:rsidRDefault="0038377A" w:rsidP="00621629">
      <w:pPr>
        <w:spacing w:before="240" w:line="276" w:lineRule="auto"/>
        <w:rPr>
          <w:rFonts w:eastAsia="Calibri"/>
        </w:rPr>
      </w:pPr>
    </w:p>
    <w:p w14:paraId="0D36EEEC" w14:textId="77777777" w:rsidR="00460D43" w:rsidRDefault="00E07784" w:rsidP="000E6E02">
      <w:pPr>
        <w:pStyle w:val="Heading2"/>
        <w:spacing w:before="0"/>
        <w:rPr>
          <w:rFonts w:cs="Arial"/>
        </w:rPr>
      </w:pPr>
      <w:r>
        <w:rPr>
          <w:rFonts w:cs="Arial"/>
        </w:rPr>
        <w:t>Safe and appropriate environment</w:t>
      </w:r>
    </w:p>
    <w:p w14:paraId="0F789500" w14:textId="77777777" w:rsidR="00460D43" w:rsidRDefault="00E07784">
      <w:pPr>
        <w:spacing w:before="240" w:line="276" w:lineRule="auto"/>
        <w:rPr>
          <w:rFonts w:eastAsia="Calibri"/>
        </w:rPr>
      </w:pPr>
      <w:bookmarkStart w:id="15" w:name="SafeAndAppropriateEnvironment"/>
      <w:r w:rsidRPr="00A4268A">
        <w:rPr>
          <w:rFonts w:eastAsia="Calibri"/>
        </w:rPr>
        <w:t xml:space="preserve">All building warrants of fitness were current. There have been no changes to the inpatient areas since the previous audit. </w:t>
      </w:r>
    </w:p>
    <w:bookmarkEnd w:id="15"/>
    <w:p w14:paraId="1FF8DC7F" w14:textId="77777777" w:rsidR="0038377A" w:rsidRPr="00A4268A" w:rsidRDefault="0038377A">
      <w:pPr>
        <w:spacing w:before="240" w:line="276" w:lineRule="auto"/>
        <w:rPr>
          <w:rFonts w:eastAsia="Calibri"/>
        </w:rPr>
      </w:pPr>
    </w:p>
    <w:p w14:paraId="292FB028" w14:textId="77777777" w:rsidR="00460D43" w:rsidRDefault="00E07784" w:rsidP="000E6E02">
      <w:pPr>
        <w:pStyle w:val="Heading2"/>
        <w:spacing w:before="0"/>
        <w:rPr>
          <w:rFonts w:cs="Arial"/>
        </w:rPr>
      </w:pPr>
      <w:r>
        <w:rPr>
          <w:rFonts w:cs="Arial"/>
        </w:rPr>
        <w:t>Restraint minimisation and safe practice</w:t>
      </w:r>
    </w:p>
    <w:p w14:paraId="2585B4F7" w14:textId="77777777" w:rsidR="00460D43" w:rsidRDefault="00E07784">
      <w:pPr>
        <w:spacing w:before="240" w:line="276" w:lineRule="auto"/>
        <w:rPr>
          <w:rFonts w:eastAsia="Calibri"/>
        </w:rPr>
      </w:pPr>
      <w:bookmarkStart w:id="16" w:name="RestraintMinimisationAndSafePractice"/>
      <w:r w:rsidRPr="00A4268A">
        <w:rPr>
          <w:rFonts w:eastAsia="Calibri"/>
        </w:rPr>
        <w:t>There is a proactive and well represented rest</w:t>
      </w:r>
      <w:r w:rsidRPr="00A4268A">
        <w:rPr>
          <w:rFonts w:eastAsia="Calibri"/>
        </w:rPr>
        <w:t>raint advisory group who have made some good progress in addressing previous shortfalls. Developing cross speciality collaboration in the training and management of restraint episodes in both the mental health and general hospital services is working well.</w:t>
      </w:r>
      <w:r w:rsidRPr="00A4268A">
        <w:rPr>
          <w:rFonts w:eastAsia="Calibri"/>
        </w:rPr>
        <w:t xml:space="preserve"> A new enabler policy and process and a reviewed restraint minimisation policy are due for publishing in the next month. Training programmes for all staff have been identified and are underway across the DHB.</w:t>
      </w:r>
    </w:p>
    <w:bookmarkEnd w:id="16"/>
    <w:p w14:paraId="157C37AF" w14:textId="77777777" w:rsidR="0038377A" w:rsidRPr="00A4268A" w:rsidRDefault="0038377A">
      <w:pPr>
        <w:spacing w:before="240" w:line="276" w:lineRule="auto"/>
        <w:rPr>
          <w:rFonts w:eastAsia="Calibri"/>
        </w:rPr>
      </w:pPr>
    </w:p>
    <w:p w14:paraId="5970E0C8" w14:textId="77777777" w:rsidR="00460D43" w:rsidRDefault="00E07784" w:rsidP="000E6E02">
      <w:pPr>
        <w:pStyle w:val="Heading2"/>
        <w:spacing w:before="0"/>
        <w:rPr>
          <w:rFonts w:cs="Arial"/>
        </w:rPr>
      </w:pPr>
      <w:r>
        <w:rPr>
          <w:rFonts w:cs="Arial"/>
        </w:rPr>
        <w:t>Infection prevention and control</w:t>
      </w:r>
    </w:p>
    <w:p w14:paraId="5A6C38F0" w14:textId="77777777" w:rsidR="00460D43" w:rsidRDefault="00E07784">
      <w:pPr>
        <w:spacing w:before="240" w:line="276" w:lineRule="auto"/>
        <w:rPr>
          <w:rFonts w:eastAsia="Calibri"/>
        </w:rPr>
      </w:pPr>
      <w:bookmarkStart w:id="17" w:name="InfectionPreventionAndControl"/>
      <w:r w:rsidRPr="00A4268A">
        <w:rPr>
          <w:rFonts w:eastAsia="Calibri"/>
        </w:rPr>
        <w:t>The DHB has an infection prevention and control programme which guides surveillance activities.  This is in line with national and international best practice, as well as being flexible enough to meet the needs of the organisation and unplanned events, suc</w:t>
      </w:r>
      <w:r w:rsidRPr="00A4268A">
        <w:rPr>
          <w:rFonts w:eastAsia="Calibri"/>
        </w:rPr>
        <w:t xml:space="preserve">h as their response to the regional Covid-19 activity. </w:t>
      </w:r>
    </w:p>
    <w:p w14:paraId="04D138B1" w14:textId="77777777" w:rsidR="0038377A" w:rsidRPr="00A4268A" w:rsidRDefault="0038377A">
      <w:pPr>
        <w:spacing w:before="240" w:line="276" w:lineRule="auto"/>
        <w:rPr>
          <w:rFonts w:eastAsia="Calibri"/>
        </w:rPr>
      </w:pPr>
      <w:bookmarkStart w:id="18" w:name="_GoBack"/>
      <w:bookmarkEnd w:id="17"/>
      <w:bookmarkEnd w:id="18"/>
    </w:p>
    <w:sectPr w:rsidR="0038377A"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B55D2" w14:textId="77777777" w:rsidR="00000000" w:rsidRDefault="00E07784">
      <w:r>
        <w:separator/>
      </w:r>
    </w:p>
  </w:endnote>
  <w:endnote w:type="continuationSeparator" w:id="0">
    <w:p w14:paraId="02C0F49F" w14:textId="77777777" w:rsidR="00000000" w:rsidRDefault="00E0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AAF5" w14:textId="77777777" w:rsidR="000B00BC" w:rsidRDefault="00E07784">
    <w:pPr>
      <w:pStyle w:val="Footer"/>
    </w:pPr>
  </w:p>
  <w:p w14:paraId="624A7C77" w14:textId="77777777" w:rsidR="005A4A55" w:rsidRDefault="00E07784"/>
  <w:p w14:paraId="5E95C269" w14:textId="77777777" w:rsidR="005A4A55" w:rsidRDefault="00E0778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414B" w14:textId="77777777" w:rsidR="000B00BC" w:rsidRPr="000B00BC" w:rsidRDefault="00E07784"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Hawke's Bay District Health Board</w:t>
    </w:r>
    <w:bookmarkEnd w:id="19"/>
    <w:r>
      <w:rPr>
        <w:rFonts w:cs="Arial"/>
        <w:sz w:val="16"/>
        <w:szCs w:val="20"/>
      </w:rPr>
      <w:tab/>
      <w:t xml:space="preserve">Date of Audit: </w:t>
    </w:r>
    <w:bookmarkStart w:id="20" w:name="AuditStartDate1"/>
    <w:r>
      <w:rPr>
        <w:rFonts w:cs="Arial"/>
        <w:sz w:val="16"/>
        <w:szCs w:val="20"/>
      </w:rPr>
      <w:t>27 January 2021</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4CA6D2" w14:textId="77777777" w:rsidR="005A4A55" w:rsidRDefault="00E077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B03C" w14:textId="77777777" w:rsidR="000B00BC" w:rsidRDefault="00E0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DF0F" w14:textId="77777777" w:rsidR="00000000" w:rsidRDefault="00E07784">
      <w:r>
        <w:separator/>
      </w:r>
    </w:p>
  </w:footnote>
  <w:footnote w:type="continuationSeparator" w:id="0">
    <w:p w14:paraId="5BAD2C68" w14:textId="77777777" w:rsidR="00000000" w:rsidRDefault="00E0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E3A3" w14:textId="77777777" w:rsidR="000B00BC" w:rsidRDefault="00E07784">
    <w:pPr>
      <w:pStyle w:val="Header"/>
    </w:pPr>
  </w:p>
  <w:p w14:paraId="67D7A33A" w14:textId="77777777" w:rsidR="005A4A55" w:rsidRDefault="00E077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0703" w14:textId="77777777" w:rsidR="000B00BC" w:rsidRDefault="00E07784">
    <w:pPr>
      <w:pStyle w:val="Header"/>
    </w:pPr>
  </w:p>
  <w:p w14:paraId="1AB0B949" w14:textId="77777777" w:rsidR="005A4A55" w:rsidRDefault="00E077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F993" w14:textId="77777777" w:rsidR="000B00BC" w:rsidRDefault="00E07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2258DEF4">
      <w:start w:val="1"/>
      <w:numFmt w:val="decimal"/>
      <w:lvlText w:val="%1."/>
      <w:lvlJc w:val="left"/>
      <w:pPr>
        <w:ind w:left="360" w:hanging="360"/>
      </w:pPr>
    </w:lvl>
    <w:lvl w:ilvl="1" w:tplc="B526E266" w:tentative="1">
      <w:start w:val="1"/>
      <w:numFmt w:val="lowerLetter"/>
      <w:lvlText w:val="%2."/>
      <w:lvlJc w:val="left"/>
      <w:pPr>
        <w:ind w:left="1080" w:hanging="360"/>
      </w:pPr>
    </w:lvl>
    <w:lvl w:ilvl="2" w:tplc="0FB2838A" w:tentative="1">
      <w:start w:val="1"/>
      <w:numFmt w:val="lowerRoman"/>
      <w:lvlText w:val="%3."/>
      <w:lvlJc w:val="right"/>
      <w:pPr>
        <w:ind w:left="1800" w:hanging="180"/>
      </w:pPr>
    </w:lvl>
    <w:lvl w:ilvl="3" w:tplc="C2AA9536" w:tentative="1">
      <w:start w:val="1"/>
      <w:numFmt w:val="decimal"/>
      <w:lvlText w:val="%4."/>
      <w:lvlJc w:val="left"/>
      <w:pPr>
        <w:ind w:left="2520" w:hanging="360"/>
      </w:pPr>
    </w:lvl>
    <w:lvl w:ilvl="4" w:tplc="BF1663EC" w:tentative="1">
      <w:start w:val="1"/>
      <w:numFmt w:val="lowerLetter"/>
      <w:lvlText w:val="%5."/>
      <w:lvlJc w:val="left"/>
      <w:pPr>
        <w:ind w:left="3240" w:hanging="360"/>
      </w:pPr>
    </w:lvl>
    <w:lvl w:ilvl="5" w:tplc="C9D0AACC" w:tentative="1">
      <w:start w:val="1"/>
      <w:numFmt w:val="lowerRoman"/>
      <w:lvlText w:val="%6."/>
      <w:lvlJc w:val="right"/>
      <w:pPr>
        <w:ind w:left="3960" w:hanging="180"/>
      </w:pPr>
    </w:lvl>
    <w:lvl w:ilvl="6" w:tplc="D39CC85A" w:tentative="1">
      <w:start w:val="1"/>
      <w:numFmt w:val="decimal"/>
      <w:lvlText w:val="%7."/>
      <w:lvlJc w:val="left"/>
      <w:pPr>
        <w:ind w:left="4680" w:hanging="360"/>
      </w:pPr>
    </w:lvl>
    <w:lvl w:ilvl="7" w:tplc="D8F2441C" w:tentative="1">
      <w:start w:val="1"/>
      <w:numFmt w:val="lowerLetter"/>
      <w:lvlText w:val="%8."/>
      <w:lvlJc w:val="left"/>
      <w:pPr>
        <w:ind w:left="5400" w:hanging="360"/>
      </w:pPr>
    </w:lvl>
    <w:lvl w:ilvl="8" w:tplc="5566C5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768A54">
      <w:start w:val="1"/>
      <w:numFmt w:val="bullet"/>
      <w:lvlText w:val=""/>
      <w:lvlJc w:val="left"/>
      <w:pPr>
        <w:ind w:left="720" w:hanging="360"/>
      </w:pPr>
      <w:rPr>
        <w:rFonts w:ascii="Symbol" w:hAnsi="Symbol" w:hint="default"/>
      </w:rPr>
    </w:lvl>
    <w:lvl w:ilvl="1" w:tplc="63CACC56" w:tentative="1">
      <w:start w:val="1"/>
      <w:numFmt w:val="bullet"/>
      <w:lvlText w:val="o"/>
      <w:lvlJc w:val="left"/>
      <w:pPr>
        <w:ind w:left="1440" w:hanging="360"/>
      </w:pPr>
      <w:rPr>
        <w:rFonts w:ascii="Courier New" w:hAnsi="Courier New" w:cs="Courier New" w:hint="default"/>
      </w:rPr>
    </w:lvl>
    <w:lvl w:ilvl="2" w:tplc="BABA2954" w:tentative="1">
      <w:start w:val="1"/>
      <w:numFmt w:val="bullet"/>
      <w:lvlText w:val=""/>
      <w:lvlJc w:val="left"/>
      <w:pPr>
        <w:ind w:left="2160" w:hanging="360"/>
      </w:pPr>
      <w:rPr>
        <w:rFonts w:ascii="Wingdings" w:hAnsi="Wingdings" w:hint="default"/>
      </w:rPr>
    </w:lvl>
    <w:lvl w:ilvl="3" w:tplc="0A14FE12" w:tentative="1">
      <w:start w:val="1"/>
      <w:numFmt w:val="bullet"/>
      <w:lvlText w:val=""/>
      <w:lvlJc w:val="left"/>
      <w:pPr>
        <w:ind w:left="2880" w:hanging="360"/>
      </w:pPr>
      <w:rPr>
        <w:rFonts w:ascii="Symbol" w:hAnsi="Symbol" w:hint="default"/>
      </w:rPr>
    </w:lvl>
    <w:lvl w:ilvl="4" w:tplc="9BBE3DA0" w:tentative="1">
      <w:start w:val="1"/>
      <w:numFmt w:val="bullet"/>
      <w:lvlText w:val="o"/>
      <w:lvlJc w:val="left"/>
      <w:pPr>
        <w:ind w:left="3600" w:hanging="360"/>
      </w:pPr>
      <w:rPr>
        <w:rFonts w:ascii="Courier New" w:hAnsi="Courier New" w:cs="Courier New" w:hint="default"/>
      </w:rPr>
    </w:lvl>
    <w:lvl w:ilvl="5" w:tplc="824044BA" w:tentative="1">
      <w:start w:val="1"/>
      <w:numFmt w:val="bullet"/>
      <w:lvlText w:val=""/>
      <w:lvlJc w:val="left"/>
      <w:pPr>
        <w:ind w:left="4320" w:hanging="360"/>
      </w:pPr>
      <w:rPr>
        <w:rFonts w:ascii="Wingdings" w:hAnsi="Wingdings" w:hint="default"/>
      </w:rPr>
    </w:lvl>
    <w:lvl w:ilvl="6" w:tplc="FBF81A36" w:tentative="1">
      <w:start w:val="1"/>
      <w:numFmt w:val="bullet"/>
      <w:lvlText w:val=""/>
      <w:lvlJc w:val="left"/>
      <w:pPr>
        <w:ind w:left="5040" w:hanging="360"/>
      </w:pPr>
      <w:rPr>
        <w:rFonts w:ascii="Symbol" w:hAnsi="Symbol" w:hint="default"/>
      </w:rPr>
    </w:lvl>
    <w:lvl w:ilvl="7" w:tplc="04FA2FD8" w:tentative="1">
      <w:start w:val="1"/>
      <w:numFmt w:val="bullet"/>
      <w:lvlText w:val="o"/>
      <w:lvlJc w:val="left"/>
      <w:pPr>
        <w:ind w:left="5760" w:hanging="360"/>
      </w:pPr>
      <w:rPr>
        <w:rFonts w:ascii="Courier New" w:hAnsi="Courier New" w:cs="Courier New" w:hint="default"/>
      </w:rPr>
    </w:lvl>
    <w:lvl w:ilvl="8" w:tplc="C0C83CF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7A"/>
    <w:rsid w:val="0038377A"/>
    <w:rsid w:val="00E077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753C"/>
  <w15:docId w15:val="{E5D9660A-F444-4DA0-9865-EF257131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21C0-7495-4B1E-811D-A8E344E1D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70FA8-8D83-439C-A9D7-B45D668D5920}">
  <ds:schemaRefs>
    <ds:schemaRef ds:uri="http://schemas.microsoft.com/sharepoint/v3/contenttype/forms"/>
  </ds:schemaRefs>
</ds:datastoreItem>
</file>

<file path=customXml/itemProps3.xml><?xml version="1.0" encoding="utf-8"?>
<ds:datastoreItem xmlns:ds="http://schemas.openxmlformats.org/officeDocument/2006/customXml" ds:itemID="{76D73457-BD91-498B-84EC-2A5C03FA49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9600D5-1197-465F-9C30-DAD50094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7460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2021-03-30T00:46:00Z</dcterms:created>
  <dcterms:modified xsi:type="dcterms:W3CDTF">2021-03-30T00:46:00Z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