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Tainui Home Trust Board - Tainui Resthome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Tainui Home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Tainui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March 2021</w:t>
      </w:r>
      <w:bookmarkEnd w:id="7"/>
      <w:r w:rsidRPr="009418D4">
        <w:rPr>
          <w:rFonts w:cs="Arial"/>
        </w:rPr>
        <w:tab/>
        <w:t xml:space="preserve">End date: </w:t>
      </w:r>
      <w:bookmarkStart w:id="8" w:name="AuditEndDate"/>
      <w:r w:rsidR="00A4268A">
        <w:rPr>
          <w:rFonts w:cs="Arial"/>
        </w:rPr>
        <w:t>4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Tainui Rest home provides residential services at rest home and hospital level care for up to 60 residents. The facility is operated by Tainui Home Trust Board and is managed by a chief executive officer.</w:t>
      </w:r>
    </w:p>
    <w:p w:rsidRPr="00A4268A">
      <w:pPr>
        <w:spacing w:before="240" w:line="276" w:lineRule="auto"/>
        <w:rPr>
          <w:rFonts w:eastAsia="Calibri"/>
        </w:rPr>
      </w:pPr>
      <w:r w:rsidRPr="00A4268A">
        <w:rPr>
          <w:rFonts w:eastAsia="Calibri"/>
        </w:rPr>
        <w:t>Residents and families reported satisfaction with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families, managers, staff, a general practitioner, a nurse practitioner and the chairman of the trust board.</w:t>
      </w:r>
    </w:p>
    <w:p w:rsidRPr="00A4268A">
      <w:pPr>
        <w:spacing w:before="240" w:line="276" w:lineRule="auto"/>
        <w:rPr>
          <w:rFonts w:eastAsia="Calibri"/>
        </w:rPr>
      </w:pPr>
      <w:r w:rsidRPr="00A4268A">
        <w:rPr>
          <w:rFonts w:eastAsia="Calibri"/>
        </w:rPr>
        <w:t>Areas requiring improvement relate to clinical governance, orientation documentation, ongoing staff training, staffing levels, aspects of care planning and responsibilities relating to infection prevention and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Tainui Home Trust Board -Tainui Rest home.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at Tainui Rest home are provided in a manner that respects the choices, personal privacy, independence, individual needs, and dignity of residents. Staff were observed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Tainui Rest home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Two complaint investigations have been investigated by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Tainui Home Trust Board is the governing body and is responsible for the service provided. Business and quality and risk management plans include the scope, direction, goals, values and a mission statement. The chief executive officer and other senior staff provide reports to the board on progress towards meeting the objectives.</w:t>
      </w:r>
    </w:p>
    <w:p w:rsidRPr="00A4268A">
      <w:pPr>
        <w:spacing w:before="240" w:line="276" w:lineRule="auto"/>
        <w:rPr>
          <w:rFonts w:eastAsia="Calibri"/>
        </w:rPr>
      </w:pPr>
      <w:r w:rsidRPr="00A4268A">
        <w:rPr>
          <w:rFonts w:eastAsia="Calibri"/>
        </w:rPr>
        <w:t>The service is managed by a chief executive officer who is new to the position. The chief executive officer is supported by the trust board, the operations manager, the relieving clinical nurse manager and the quality assurance coordinator.</w:t>
      </w:r>
    </w:p>
    <w:p w:rsidRPr="00A4268A">
      <w:pPr>
        <w:spacing w:before="240" w:line="276" w:lineRule="auto"/>
        <w:rPr>
          <w:rFonts w:eastAsia="Calibri"/>
        </w:rPr>
      </w:pPr>
      <w:r w:rsidRPr="00A4268A">
        <w:rPr>
          <w:rFonts w:eastAsia="Calibri"/>
        </w:rPr>
        <w:t>There is an internal audit programme in place. Adverse events are documented on adverse events forms. Corrective action plans for deficits relating to internal audits and adverse events are developed, implemented, monitored and signed off.  Quality, health and safety, registered and enrolled nurse, management, household and residents’ meetings are held on a regular basis.</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implemented.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A documented rationale for determining staffing levels and skill mix is in place. Registered nurses are always rostered on duty. Staff are rostered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an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Tainui Rest Home liaises with the local Needs Assessment and Service Co-ordination Service, to ensure access to the facility is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All residents’ files reviewed demonstrated that needs, goals, and outcomes are identified and reviewed on a regular basis. Residents and their family members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run by a diversional therapist and a recreation co-ordinator. The programme provides residents with a variety of individual and group activities and maintains their links with the community. Two facility vans are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enrolled nurses, or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at the front entrance. Preventative and reactive maintenance programmes include equipment and electrical checks.</w:t>
      </w:r>
    </w:p>
    <w:p w:rsidRPr="00A4268A">
      <w:pPr>
        <w:spacing w:before="240" w:line="276" w:lineRule="auto"/>
        <w:rPr>
          <w:rFonts w:eastAsia="Calibri"/>
        </w:rPr>
      </w:pPr>
      <w:r w:rsidRPr="00A4268A">
        <w:rPr>
          <w:rFonts w:eastAsia="Calibri"/>
        </w:rPr>
        <w:t>There is a mix of rooms with shared full ensuites and those with a toilet and wash hand basin with a shared shower. Adequate numbers of additional bathrooms and toilets are available. There are several lounges, dining areas and alcoves. External areas for sitting and shading are provided.</w:t>
      </w:r>
    </w:p>
    <w:p w:rsidRPr="00A4268A">
      <w:pPr>
        <w:spacing w:before="240" w:line="276" w:lineRule="auto"/>
        <w:rPr>
          <w:rFonts w:eastAsia="Calibri"/>
        </w:rPr>
      </w:pPr>
      <w:r w:rsidRPr="00A4268A">
        <w:rPr>
          <w:rFonts w:eastAsia="Calibri"/>
        </w:rPr>
        <w:t>An appropriate call bell system is available, and residents reported timely responses to call bells. Security and emergency systems are in place. Residents reported timely responses to call bells. Staff are trained in emergency procedures and emergency resources are readily available. Supplies are checked regularly. Fire evacuation procedures are held six monthly.</w:t>
      </w:r>
    </w:p>
    <w:p w:rsidRPr="00A4268A">
      <w:pPr>
        <w:spacing w:before="240" w:line="276" w:lineRule="auto"/>
        <w:rPr>
          <w:rFonts w:eastAsia="Calibri"/>
        </w:rPr>
      </w:pPr>
      <w:r w:rsidRPr="00A4268A">
        <w:rPr>
          <w:rFonts w:eastAsia="Calibri"/>
        </w:rPr>
        <w:t>Protective equipment and clothing are provided and used by staff. Chemicals, soiled linen and equipment were safely stored. All laundry is undertaken on site and the cleaning and laundry are evaluated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a restraint and enablers at the time of audit. Restraint processes on place meet the standards.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aim to prevent and manage infections. Specialist infection prevention and control advice is accessed from the Taranaki District Health Board. The programme is reviewed annually.</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procedures.</w:t>
      </w:r>
    </w:p>
    <w:p w:rsidRPr="00A4268A">
      <w:pPr>
        <w:spacing w:before="240" w:line="276" w:lineRule="auto"/>
        <w:rPr>
          <w:rFonts w:eastAsia="Calibri"/>
        </w:rPr>
      </w:pPr>
      <w:r w:rsidRPr="00A4268A">
        <w:rPr>
          <w:rFonts w:eastAsia="Calibri"/>
        </w:rPr>
        <w:t>Surveillance of aged care specific infections is undertaken, and data is trended and benchmarked.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44"/>
        <w:gridCol w:w="1280"/>
        <w:gridCol w:w="90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Tainui Home Trust Board -Tainui Rest home (Tainui)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(which occurred on 27 &amp; 28 January 2021),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Staff were aware of how to access the Advocacy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spiritual advisors are onsite at Tainui daily, and are available to assist residents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The information is provided to residents and families on admission and complaints information and forms are available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complaints have been received since the last audit and these have been entered into the complaints register. Complaint documentation was reviewed and actions taken were documented and completed within the timeframes specified in the Code. Action plans reviewed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quality assurance coordinator (QAC) is responsible for complaint management and follow-up. Staff interviewed confirmed a sound understanding of the complaints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QAC reported there have been two complaint investigations by the Health and Disability Commissioner (HDC) and the local DHB since the previous audit. One complaint was to the DHB concerning the care of a resident. Documentation was requested from Tainui and this was supplied to the DHB. A letter dated 12 January 202 from the DHB stated the complaint was not substantiated and is formally closed. The complainant then complained to the HDC and documentation reviewed evidenced the HDC has requested further information. The clinical notes have been provided to the HDC with further information to follow.</w:t>
            </w:r>
          </w:p>
          <w:p w:rsidR="00EB7645" w:rsidRPr="00BE00C7" w:rsidP="00BE00C7">
            <w:pPr>
              <w:pStyle w:val="OutcomeDescription"/>
              <w:spacing w:before="120" w:after="120"/>
              <w:rPr>
                <w:rFonts w:cs="Arial"/>
                <w:b w:val="0"/>
                <w:lang w:eastAsia="en-NZ"/>
              </w:rPr>
            </w:pPr>
            <w:r w:rsidRPr="00BE00C7">
              <w:rPr>
                <w:rFonts w:cs="Arial"/>
                <w:b w:val="0"/>
                <w:lang w:eastAsia="en-NZ"/>
              </w:rPr>
              <w:t>The other complaint was to the DHB in September 2019 about the care of a resident. Recommendations from the DHB following the investigation have been completed by Tainui and documentation from the DHB evidenced corrective actions have been completed and the complaint is formally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reported being made aware of the Code and the Nationwide Health and Disability Advocacy Service (Advocacy Service) as part of the admission information provided and discussion with staff. The Code is displayed in common areas around the facility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services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the General Practitioner (GP) and the Nurse Practitioner (NP). There are two double rooms in the facility, which are only used for couples or occupy one resident only. All single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Three spiritual advisors are accessible to residents of Tainui daily.</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planned to be provided on an annual basis. This however has not occurred in 2020 (refer criterion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Tainui at the time of audit who identified as Māori. Interviews verified that staff could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NP and GP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has been provided on an erratic basis, with attendance being poor as confirmed in staff training records (refer criterion 1.2.7.5).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physiotherapist, wound care specialist, district nurses, community dieticians, services for older people, and mental health services for older persons. The GP and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access external education through the Taranaki District Health Board (TDHB), the local hospice, an external training establishment and online learning hubs.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recent introduction of an electronic quality management system which includes a New Zealand national aged care online benchmarking programme, to enable ongoing improvement in the care provided by Tainui. This system has identified a high number of falls between the hours of 7-8pm at night and a need for increased staffing during these hours (refer criterion 1.2.8.1). The system enables the GP and NP to access residents’ care and medication records at any time. Interview with the NP identified this being particularly valuable when managing a resident’s pain as it enables access to residents’ progress notes and any pro re nata (PRN) medications being required, and the possible need for increases in regular dosages.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TDHB, Language Line, the Blind Foundation, and the Deaf Foundation when required. Staff knew how to access these services though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Tainui Rest Home is governed by a trust board of nine members who are responsible for setting the strategic direction and the service at the facility. The business plan 2020-2022 has a mission statement, business objectives and values, strengths, weaknesses, opportunities and threats. The Tainui strategic document 2020-2021 includes a vision and four core enabling strategies – people first; excellent care; develop services and not for profit/financially and core indicators. The board meeting minutes evidenced identified objectives, with actions and progress on actions. The CEO and senior managers present reports to the board at their board meetings. Review of reports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CEO who is new to the position and started employment two days prior to the audit. The chairman of the trust board has been acting as the interim CEO since October 2020 when the last CEO left.  The CEO is new to the aged care sector, is a qualified charted accountant and has an extensive background in management and financial services, both in NZ and offshore. The CEO is supported by the trust board, the relieving clinical nurse manager (relieving CNM) and other senior staff. </w:t>
            </w:r>
          </w:p>
          <w:p w:rsidR="00EB7645" w:rsidRPr="00BE00C7" w:rsidP="00BE00C7">
            <w:pPr>
              <w:pStyle w:val="OutcomeDescription"/>
              <w:spacing w:before="120" w:after="120"/>
              <w:rPr>
                <w:rFonts w:cs="Arial"/>
                <w:b w:val="0"/>
                <w:lang w:eastAsia="en-NZ"/>
              </w:rPr>
            </w:pPr>
            <w:r w:rsidRPr="00BE00C7">
              <w:rPr>
                <w:rFonts w:cs="Arial"/>
                <w:b w:val="0"/>
                <w:lang w:eastAsia="en-NZ"/>
              </w:rPr>
              <w:t>Due to personal reasons, the clinical coordinator resigned from their position in January 2020 and has gone back to being an RN on the floor. The position is yet to be filled.</w:t>
            </w:r>
          </w:p>
          <w:p w:rsidR="00EB7645" w:rsidRPr="00BE00C7" w:rsidP="00BE00C7">
            <w:pPr>
              <w:pStyle w:val="OutcomeDescription"/>
              <w:spacing w:before="120" w:after="120"/>
              <w:rPr>
                <w:rFonts w:cs="Arial"/>
                <w:b w:val="0"/>
                <w:lang w:eastAsia="en-NZ"/>
              </w:rPr>
            </w:pPr>
            <w:r w:rsidRPr="00BE00C7">
              <w:rPr>
                <w:rFonts w:cs="Arial"/>
                <w:b w:val="0"/>
                <w:lang w:eastAsia="en-NZ"/>
              </w:rPr>
              <w:t>A relieving CNM has been employed on a fixed term contract of six weeks while the current CNM is on planned leave, the length of which is not known. The relieving CNM has been in the position for two weeks at the time of audit. The relieving CNM is an experienced clinical nurse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last CNM left employment in January 2020. There was no CNM until April 2020 when the current CNM was recruited from within the workforce. The position was not advertised. The current CNM does not have experience for the role of CNM.  Prior to this position the CNM was an RN on the floor working part-time for three shifts a week. The CNM has not completed an orientation to the position. Interviews of all levels of staff evidenced there has been a lack of clinical leadership. Care staff reported they felt unsettled and that the experienced RNs and ENs ensured the care of residents remained safe. </w:t>
            </w:r>
          </w:p>
          <w:p w:rsidR="00EB7645" w:rsidRPr="00BE00C7" w:rsidP="00BE00C7">
            <w:pPr>
              <w:pStyle w:val="OutcomeDescription"/>
              <w:spacing w:before="120" w:after="120"/>
              <w:rPr>
                <w:rFonts w:cs="Arial"/>
                <w:b w:val="0"/>
                <w:lang w:eastAsia="en-NZ"/>
              </w:rPr>
            </w:pPr>
            <w:r w:rsidRPr="00BE00C7">
              <w:rPr>
                <w:rFonts w:cs="Arial"/>
                <w:b w:val="0"/>
                <w:lang w:eastAsia="en-NZ"/>
              </w:rPr>
              <w:t>Tainui Rest Home is certified to provide hospital level and rest home level care. Apart from two small rooms, all bedrooms have been approved as dual-purpose beds, rest home and hospital level residents are mainly cared for in two designated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contracts with the DHB for aged related residential care services (ARRC), respite, long term chronic health conditions (LTCHC) and enhanced intermediate care (EICAT). On the day of audit there were 13 hospital level residents and 39 rest home level residents under the ARRC contract. There are also four beds funded by the DHB for residents under the enhanced intermediate care (EICAT).  </w:t>
            </w:r>
          </w:p>
          <w:p w:rsidR="00EB7645" w:rsidRPr="00BE00C7" w:rsidP="00BE00C7">
            <w:pPr>
              <w:pStyle w:val="OutcomeDescription"/>
              <w:spacing w:before="120" w:after="120"/>
              <w:rPr>
                <w:rFonts w:cs="Arial"/>
                <w:b w:val="0"/>
                <w:lang w:eastAsia="en-NZ"/>
              </w:rPr>
            </w:pPr>
            <w:r w:rsidRPr="00BE00C7">
              <w:rPr>
                <w:rFonts w:cs="Arial"/>
                <w:b w:val="0"/>
                <w:lang w:eastAsia="en-NZ"/>
              </w:rPr>
              <w:t>Residents from Tainui village have occupational rights agreements (ORAs) and can access respite care in the facility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CEO is absent, the operations manager will cover all aspects of the service with support from the trust board and quality assurance coordinator.  During absence of the RCNM, the senior registered nurse is available to cover for the clinical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is well embedded at Tainui. Quality data is managed well by the quality assurance coordinator who enters it into an electronic programme provided by an external company. Quality data is collated and analysed for any trends. Corrective actions are developed and implemented and reported to staff. Graphs are generated and include benchmarking. Various staff meetings have been held regularly. Minutes reviewed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satisfaction survey for 2020 has been collated and evidenced a high satisfaction rate.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relevant to the scope and complexity of the service, reflect current accepted good practice, and reference legislative requirements. Policies / procedures are reviewed and updated by the external company who provides them, and were current.  Obsolete policies are archived in the electronic system. Staff are notified via memos of reviewed and updated/new policies. Staff confirmed they are advised of updated policies and that the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included a risk assessment matrix. The hazard/risk register includes risks associated with clinical, human resources, legislative compliance, contractual and environmental risks. All hazards are entered onto an adverse event form. The hazard/risk register includes actual and potential hazards and the actions put in place to minimise or eliminate the hazard. Newly found hazards are communicated to staff and residents as appropriate.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adverse event forms and the RNs review the forms and are responsible for any corrective actions. The quality assurance coordinator (QAC) enters the data into the electronic programme. Documentation reviewed and interviews of staff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comply with essential notification reporting. Staff stated they are made aware of their essential notification responsibilities through job descriptions, policies and procedures, and professional codes of conduct. Review of staff files and other documentation confirmed this.  The QAC reported there have been no Section 31 notifications to HealthCERT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human resources management are in place. Staff files included job descriptions which outline accountability, responsibilities and authority, employment agreements, references, competency assessments, education records and police vetting. Not all staff files evidenced a completed orientation, including the CNM (Refer to criterion (1.2.1.3). </w:t>
            </w:r>
          </w:p>
          <w:p w:rsidR="00EB7645" w:rsidRPr="00BE00C7" w:rsidP="00BE00C7">
            <w:pPr>
              <w:pStyle w:val="OutcomeDescription"/>
              <w:spacing w:before="120" w:after="120"/>
              <w:rPr>
                <w:rFonts w:cs="Arial"/>
                <w:b w:val="0"/>
                <w:lang w:eastAsia="en-NZ"/>
              </w:rPr>
            </w:pPr>
            <w:r w:rsidRPr="00BE00C7">
              <w:rPr>
                <w:rFonts w:cs="Arial"/>
                <w:b w:val="0"/>
                <w:lang w:eastAsia="en-NZ"/>
              </w:rPr>
              <w:t>An orientation workbook is generic and role specific and includes competencies. The workbook is completed within three months of employment. Staff performance is reviewed at the end of this period. Orientation for staff covers all essential components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An in-service education programme is in place and covers all required subjects. ‘Toolbox talks’ at handover, specific topics relating to resident’s health status and one to one training is provided, however, this are not recorded. The programme has not been followed due to Covid 19 and because there were months when there was no CNM to coordinate and implement the programme. The local DHB also provides education sessions for RNs. Individual records of education are held on staff files and electronically. Attendance at training sessions is generally poor apart from a session on ‘bullying’. Competencies were current, including for medication management, with the exception of restraint competencies, which were not current. Attendance records are maintained. Of the nine RNs, two are interRAI trained as well as the RCNM. All RNs, ENs and other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(Careerforce) is available for staff to complete and they are encouraged to do so. Five care staff have attained level 2, 12 have level 3 and six have level 4.</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they have completed an orientation, including competency assessments and their performance appraisals are current. Staff interviewed confirmed on-going in-service training has been spasmodic.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The RCNM reported the rosters are reviewed continuously and dependency levels of residents and the physical environments are considered as the two areas are separated.</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area, at the time of audit, there were 19 residents and in the rest home area 33 residents, three of whom require two staff to hoist. Quality data around resident falls evidenced a spike between 7pm and 8pm at night in the rest home area. Interviews of senior staff, caregivers, RNs and ENs evidenced staff are struggling to safely care for residents as the acuity levels have increased. The relieving CNM is aware of this and is currently reviewing the roster. The relieving CNM stated they now have a casual pool of care givers to call on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relieving CNM is fulltime Monday to Friday, eight hours a day. There are either two RNs on the morning shift or one RN and one EN. Six caregivers are on the morning shift, three in each area. An RN and EN are on the afternoon shift, with four caregivers on duty.  An RN and EN are on the night shift with two caregivers. The relieving CNM is on call for clinical matters and the CEO for non-clinical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Apart from two RNs, the rest are experienced RNs and ENs (four) who have worked in the sector for many years. Laundry and cleaning is undertaken by dedicated staff. A diversional therapist and recreation person are employed and provide activities Monday to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Apart from the afternoon shift, care staff reported there are adequate staff available and that they were able to complete the work allocated to them.  Residents and families reported they are happy with the staffing levels and there are enough staff on duty to provide them or their relative with a high standard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Tainui when they have been assessed by the local Needs Assessment and Service Coordination (NASC) Service, as requiring the level of care provided by Tainui. Prospective residents and/or their families are encouraged to visit the facility prior to admission and meet with the relieving clinical nurse manager (CNM).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TDHB’s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Tainui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in June 2020. Recommendations made at that time have been implemented. The menu is diverse and offers residents a range of choices at each meal.</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at Tainui and was audited by the New Plymouth District Council on 16 October 2020. One corrective action requiring the recording of use by dates on sauces when they have been decanted from the original bottle has since been addressed. The food control plan has been verified for eighteen months and is due to expire on 16 June 2022.</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relieving CNM.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to Tainui, residents are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Reassessments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 seven of the nine files reviewed interRAI assessments were completed within three weeks of admission and at least every six months unless the resident’s condition changes. The two remaining residents had not had interRAI assessment completed within 21 days of admission (refer criterion 1.3.5.2) and had not had a review six months later as they had not been a resident in Tainui for six months at the time of audit. Interviews, documentation, and observation verifies the RNs are familiar with requirement for reassessment of a resident using the interRAI assessment tool when a resident has increasing or changing need levels. </w:t>
              <w:br/>
              <w:br/>
              <w:t>Seven of nine residents have current interRAI assessments completed by two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service integration with progress notes, activities note, medical and allied health professional’s notations clearly written, informative and relevant. Care provided to residents was observed to be timely and appropriate and well documented in progress notes. However, any change in the plan of care required by the resident was not consistently updated by the RN in the care plan. The care plan therefore did not always reflect the support the resident required, the outcome of the integrated assessment process, and other relevant clinical information. This is an area requiring improvement. </w:t>
            </w:r>
          </w:p>
          <w:p w:rsidR="00EB7645" w:rsidRPr="00BE00C7" w:rsidP="00BE00C7">
            <w:pPr>
              <w:pStyle w:val="OutcomeDescription"/>
              <w:spacing w:before="120" w:after="120"/>
              <w:rPr>
                <w:rFonts w:cs="Arial"/>
                <w:b w:val="0"/>
                <w:lang w:eastAsia="en-NZ"/>
              </w:rPr>
            </w:pPr>
            <w:r w:rsidRPr="00BE00C7">
              <w:rPr>
                <w:rFonts w:cs="Arial"/>
                <w:b w:val="0"/>
                <w:lang w:eastAsia="en-NZ"/>
              </w:rPr>
              <w:t>Care needs were verbally passed on to relevant staff. Evidence was sighted that this finding related only to care plan documentation. The care provided to the residents was evidenced to be consistent with best practice guidelines. Residents and family members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that referred to in criterion 1.3.5.2, documentation, observations, and interviews verified the care provided to residents was consistent with their needs and goals. The attention to meeting a diverse range of resident’s individualised needs was evident in all areas of service provision. The GP and NP interviewed, verified that medical input is sought in a timely manner and that medical orders are followed. Care staff confirmed that care was provided as outlined at handover and in verbal orders rather than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and a recreation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activity programme that is meaningful to the residents. The resident’s activity needs are evaluated regularly and as part of the formal care plan review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planned monthly activities programme sighted at Tainui, one for hospital residents and one for rest home and village residents. The programme is diverse and matches the skills, likes, dislikes and interests identified in assessment data. Activities reflected residents’ goals, ordinary patterns of life and included normal community activities. Individual, group activities and regular events are offered. Examples included exercises, church services, newspaper reading, choir, ‘knit and natter’, baking, crafts, outings, movies, entertainment, ‘happy hour’, and bowls. Van outings are held twice a week.</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monthly residents’ meetings and minutes indicate residents’ input is sought. Resident and family satisfaction surveys demonstrated satisfaction with the activities programme provided at Tainui.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however these are not often documented in the care plan (refer criterion 1.3.5.2). Short-term care plans were regularly reviewed for infections and wounds, and progress evaluated as clinically indicated. GPs and the NP have access to the electronic resident management system and the medication system and make changes based on the evidence seen in progress notes and medication records.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Tainui are supported to access or seek referral to other health and/or disability service providers. Although the service has a main medical provider, residents may choose to use another medical practitioner. If the need for other non-urgent services is indicated or requested, the GP, NP or RN sends a referral to seek specialist input. Copies of referrals were sighted in residents’ files, including to older persons’ mental health services. Referrals are followed up on a regular basis by the RN, NP,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specify labelling requirements in line with legislation. Documented processes for the management of waste and hazardous substances are in place. Incidents are reported in a timely manner.  Safety data sheets were sighted and are accessible for staff.  The hazard register was current. </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were sighted that is appropriate to recognised risks.  Protective clothing was observed being used by staff. Staff interviewed had a sound understanding of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systems status report in lieu of a building warrant of fitness is displayed at the front entrance that expires on the 15 January 2022. There are appropriate systems in place to ensure the residents’ physical environment and facilities are fit for their purpose. Residents and families confirmed they can move freely around the facility and that the accommodation meets their or their relative’s needs. Passageways are wide and there is good room for resident to pass comfortably.</w:t>
            </w:r>
          </w:p>
          <w:p w:rsidR="00EB7645" w:rsidRPr="00BE00C7" w:rsidP="00BE00C7">
            <w:pPr>
              <w:pStyle w:val="OutcomeDescription"/>
              <w:spacing w:before="120" w:after="120"/>
              <w:rPr>
                <w:rFonts w:cs="Arial"/>
                <w:b w:val="0"/>
                <w:lang w:eastAsia="en-NZ"/>
              </w:rPr>
            </w:pPr>
            <w:r w:rsidRPr="00BE00C7">
              <w:rPr>
                <w:rFonts w:cs="Arial"/>
                <w:b w:val="0"/>
                <w:lang w:eastAsia="en-NZ"/>
              </w:rPr>
              <w:t>There is a proactive and reactive maintenance programme, and the buildings, plant and equipment are maintained to an adequate standard.  Maintenance is undertaken by the maintenance people with oversight by the operations manager. The testing and tagging of electrical equipment and calibration of bio-medical equipment was current. Hot water temperatures at resident outlets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external areas available that are appropriate to the resident groups and setting. Large external courtyards with seating and shade are available for residents to frequent.  The environment is conducive to the range of activities undertaken in the areas. Residents are protected from risks associated with being outside.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A mix of rooms with shared full ensuites and rooms with a toilet and wash hand basin with shared showers are available. There are additional toilets and showers near the residents’ rooms. Bathrooms have appropriately secured and approved handrails provided in the toilet/shower areas and other equipment and accessories are available to promote independence. Separate bathrooms for staff and visitors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single apart from two double rooms that are currently used as single accommodation. There is adequate personal space provided to allow residents and staff to move around within their bedrooms safely. Rooms are personalised with furnishings, photographs and other personal items on display. All bedrooms are large enough for residents and staff and equipment to manoeuvre within.</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room in the facility to store mobility aids, such as mobility scooters, wheelchairs and walkers.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Various communal areas are available for residents to frequent. The dining and lounge areas in both units have good space and enable easy access for residents and staff. Residents can access areas for privacy. The furniture in the lounges and dining rooms is appropriate to the setting and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to accommodate wheelchairs in the dining rooms and lounges. A large room is used for activities including an exercise programme and cooking.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Cleaners and laundry staff demonstrated a sound knowledge of the cleaning and laundry processes. The cleaning of the facility is to a high standard. Chemicals are stored securely and were in appropriately labelled containers. The cleaning trolleys are stored securely when not in use. The representative from the chemical company visits twice a week. Residents and families interviewed reported personal clothes are managed effectively and returned in a timely manner. There are separate named baskets for each individual resident. 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the 26 February 2015. A fire evacuation drill takes place at least four monthly with a copy sent to the New Zealand Fire Service. The last trial was held on the 21 October 2020. The orientation programme includes fire safety and security training.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guidelines for all emergency planning, preparation and response are displayed and flip charts are displayed throughout the facility to guide staff. Disaster and civil defence planning guides direct the facility in their preparedness for disasters and described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of civil defence supplies is the responsibility of the operations manager. Adequate supplies for use in the event of a civil defence emergency including food, water, blankets, torches, mobile phones and a gas barbecue were sighted and meet the requirements for the number of residents able to be accommodated at the facility. Water storage meets the requirements for the emergency water storage recommendations for the region.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bells were observed in service areas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the facility is checked by staff. Surveillance cameras are situated in communal areas and a notice is visible at the front entrance. Sensor lights are situated externally, and a security firm completes a rounds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Heating is provided by radiators and ceiling heating and cooling systems in the lounges. There are procedures to ensure the service is responsive to resident feedback in relation to heating and ventilation.  Residents are provided with safe ventilation, and an environment that is maintained at a safe and comfortable temperature. All resident areas are provided with natural light. Residents and families reported the temperature is always comfortable. Both the building and outside areas are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The infection control programme and manual are reviewed annually, by the quality coordinator and the infection control advisor.  </w:t>
            </w:r>
          </w:p>
          <w:p w:rsidR="00EB7645" w:rsidRPr="00BE00C7" w:rsidP="00BE00C7">
            <w:pPr>
              <w:pStyle w:val="OutcomeDescription"/>
              <w:spacing w:before="120" w:after="120"/>
              <w:rPr>
                <w:rFonts w:cs="Arial"/>
                <w:b w:val="0"/>
                <w:lang w:eastAsia="en-NZ"/>
              </w:rPr>
            </w:pPr>
            <w:r w:rsidRPr="00BE00C7">
              <w:rPr>
                <w:rFonts w:cs="Arial"/>
                <w:b w:val="0"/>
                <w:lang w:eastAsia="en-NZ"/>
              </w:rPr>
              <w:t>Up until a week prior to audit, there had been no designated Infection Control Coordinator (ICC) at Tainui since January 2020, to manage the infection control programme.  (refer also criterion 1.2.1.3 and 1.2.7.5).</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matters, including surveillance results, are entered into the facility’s electronic database by the RN who is on duty when an infection is identified. The electronic database then creates a short-term care plan in the resident’s file. Infection control matters and surveillance results are tabled at the monthly board meeting, six weekly RN/EN meeting, six weekly staff meeting and the six weekly quality meeting. The recent appointment of a relieving CNM, has included the appointment of an infection control co-ordinator.</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relieving CNM, has been appointed the ICC, and has appropriate skills, knowledge, and qualifications for the role. The ICC has undertaken online training in infection prevention and control as verified in training records sighted. Well-established local networks with the infection control team at the TDHB are available and expert advice from an external advisory company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not received ongoing training in IPC (refer criterion 1.2.7.5). When an infection outbreak or an increase in infection incidence has occurred, there is evidence that additional staff education has been provided, at handover, in response. An example of this occurred when there was a recent increase in urinary tract infections. Evidence verifies education around the management of Covid-19 has occurred as toolbox sessions daily, however no documented record of this is sighted.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and family members is generally on a one-to-one basis, via newsletters, or emails and has included reminders about visitor restrictions, restrictions on outings, handwashing, advice about residents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Tainui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Coordinator reviews all reported infection data. Monthly surveillance data is collated to identify any trends. Results of the surveillance programme are shared with staff via quality and staff meetings and at staff handovers.  Graphs are produced that identify trends for the current year, and comparisons against previous years. Data is benchmarked nationally with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Norovirus outbreaks at Tainui this year.</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Tainui Rest Home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demonstrated the use of restraint is actively minimised. Equipment used included sensor mats and low beds. There were two residents using restraint and four residents using an enabler during the audit. The senior RN stated the aim is to have no restraint use in the facility. Policies and procedures have definitions of restraints and enablers. Staff demonstrated good knowledge about restraints and enablers and knew the difference between the two.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to guide staff in the management of restraints. The restraint co-ordinator demonstrated a sound knowledge relating to minimising restraint use, current and potential risks of restraint, the approval process, and monitoring and review of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meetings are held and review of the minutes confirmed this.  Required documentation relating to restraint and enabler use is recorded.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being followed and current consents were in place for the use of restraint. Bedrails, lap belts and a fall out chair have been approved.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evidenced a detailed assessment including risks associated with restraint use.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checklist and consents were evidenced in the residents’ files reviewed.  Close monitoring and review of the ongoing requirement for restraint is documented with possible alternatives and strategies which are discussed with family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stated that restraints are used as a last resort after alternative interventions have been explored. The restraint register is current and meets the standard. Staff do not have current restraint competency assessments (Refer to criterion1.2.7.5). </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advocacy services and that support is available. The contact details for this service are documented and the service can be accessed when needed to inform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Documentation in the residents’ files relating to risk around restraint is individualised and gives good detail.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confirmed evaluations of the restraints are completed at three-monthly intervals. Evaluation and review of restraints meet the standard. The restraint coordinator and RNs confirmed communication with families are held regarding restraint and enabler use, and discussions were held around reducing or minimising any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review of restraint is managed through the internal audit programme and the restraint meetings. Review of documentation and interview of the restraint coordinator confirmed this.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7041"/>
        <w:gridCol w:w="2121"/>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new CEO who started employment on the 1 March 2021. Prior to that, the chairman of the trust board has been acting as the interim CEO since October 2020 when the last CEO left.  The new CEO is a qualified charted accountant and has an extensive background in management and financial services, both in NZ and offshore. The CEO is new to the aged care sector and is supported by the trust board, especially the chairman, the relieving clinical nurse manager (RCNM) and other senior staff.</w:t>
            </w:r>
          </w:p>
          <w:p w:rsidR="00EB7645" w:rsidRPr="00BE00C7" w:rsidP="00BE00C7">
            <w:pPr>
              <w:pStyle w:val="OutcomeDescription"/>
              <w:spacing w:before="120" w:after="120"/>
              <w:rPr>
                <w:rFonts w:cs="Arial"/>
                <w:b w:val="0"/>
                <w:lang w:eastAsia="en-NZ"/>
              </w:rPr>
            </w:pPr>
            <w:r w:rsidRPr="00BE00C7">
              <w:rPr>
                <w:rFonts w:cs="Arial"/>
                <w:b w:val="0"/>
                <w:lang w:eastAsia="en-NZ"/>
              </w:rPr>
              <w:t>A relieving CNM has been employed on a fixed term contract of six weeks while the current CNM is on planned leave, the length of which is not known. The relieving CNM has been in the position for two weeks at the time of audit. The relieving CNM is an experienced clinical nurse manager who has worked in similar positions in other aged care facilities in the area and recently has been contracting to aged care facilities as a nurse consultant.</w:t>
            </w:r>
          </w:p>
          <w:p w:rsidR="00EB7645" w:rsidRPr="00BE00C7" w:rsidP="00BE00C7">
            <w:pPr>
              <w:pStyle w:val="OutcomeDescription"/>
              <w:spacing w:before="120" w:after="120"/>
              <w:rPr>
                <w:rFonts w:cs="Arial"/>
                <w:b w:val="0"/>
                <w:lang w:eastAsia="en-NZ"/>
              </w:rPr>
            </w:pPr>
            <w:r w:rsidRPr="00BE00C7">
              <w:rPr>
                <w:rFonts w:cs="Arial"/>
                <w:b w:val="0"/>
                <w:lang w:eastAsia="en-NZ"/>
              </w:rPr>
              <w:t>The last CNM left employment in January 2020. There was no CNM until April 2020 when the current CNM was recruited from within the workforce. The position was not advertised. The current CNM does not have experience for the role of CNM and the responsibilities that are expected.  Prior to this position the CNM was an RN on the floor working part-time for three shifts a week. Senior staff reported the CNM was not provided with an orientation to the position and review of the CNM’s file confirmed this (link to criterion 1.2.7.4).  Interviews of all levels of staff evidenced there has been a lack of clinical leadership. Care staff reported they felt unsettled and that the experienced RNs and ENs ensured the care of residents remained safe. All staff interviewed reported even though the relieving CNM has been in the role a short time, they are being supported, have direction and strong leadership.</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they are satisfied with the care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CNM who is on leave does not have experience relating to the role of a clinical nurse manager and did not receive an orientation/ induction to the role. Staff reported there has been a lack of direction and leadership, however, the experienced RNs and ENs ensured residents continued to receive safe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robust clinical governance will be maintained long term once the contract for the relieving clinical nurse manager finishes.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orientation workbook is generic and role specific and includes competencies. The workbook is completed within three months of employment. Staff performance is reviewed at the end of this period. Orientation for staff covers all essential components of the service provided. Four of the 10 staff files reviewed did not have a completed orientation on file. The quality assurance coordinator reported they knew that two of the four staff have completed an orientation; however, they have not handed the documentation in for filing.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the 10 staff files reviewed did not evidence a completed orientation.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have a completed orientation on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is the responsibility of the CNM; however, with the disruptions including Covid 19 and a period without a CNM, ongoing training has been spasmodic. Staff and the QAC interviewed confirmed this. ‘Toolbox talks’ at handover, specific topics relating to individual resident’s health status and one to one training has been provided, however, these have not been recorded. Attendance at training sessions is entered into the electronic spread sheets and evidenced attendance at sessions that have been held is poor, apart from the session on bullying. The local DHB provides education sessions for RNs. Individual records of education are held on staff files and electronically. The relieving CNM reported they are currently reviewing the in-service training programme and the way it is provided with a view to increasing attendance. Medication competencies were current. Restraint competencies were not current. Of the nine RNs, two are interRAI trained as well as the RCNM. All RNs, ENs and other staff have current first aid certificates.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Ongoing training for staff has been spasmodic during 2020 and 2021 and attendance at sessions is generally poor. The RCNM is currently reviewing the way training is provided and intends seeking input from staff so that attendance is increased. Restraint competencies are not current.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in-service education programme is followed, restraint competencies are current and that attendance at sessions has increased to an acceptable level.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areas in the facility are separated with the hospital accommodating 19 residents who are mainly hospital level and the rest home area 33 residents who are mainly rest home level, with three at hospital level who require two staff to hoist. An acuity tool is used to gauge dependency levels of residents and a documented rationale for determining staffing levels and skill mix to provide safe service is in place. The relieving CNM reported the rosters are reviewed continuously and dependency levels of residents and the physical environments are considered.</w:t>
            </w:r>
          </w:p>
          <w:p w:rsidR="00EB7645" w:rsidRPr="00BE00C7" w:rsidP="00BE00C7">
            <w:pPr>
              <w:pStyle w:val="OutcomeDescription"/>
              <w:spacing w:before="120" w:after="120"/>
              <w:rPr>
                <w:rFonts w:cs="Arial"/>
                <w:b w:val="0"/>
                <w:lang w:eastAsia="en-NZ"/>
              </w:rPr>
            </w:pPr>
            <w:r w:rsidRPr="00BE00C7">
              <w:rPr>
                <w:rFonts w:cs="Arial"/>
                <w:b w:val="0"/>
                <w:lang w:eastAsia="en-NZ"/>
              </w:rPr>
              <w:t>Interviews of senior staff, caregivers, RNs and ENs evidenced staff are struggling to safely care for residents as the acuity levels have increased, especially in the rest home area. Staff reported that while they are occupied, residents are preparing for bed themselves and falling. Quality data relating to resident falls evidenced a spike between 7pm and 8pm at night in the rest home area.  Staff reported an additional staff member is required on the afternoon shift to ‘float’ between the two areas. The relieving CNM is aware of this and is currently reviewing the roster.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acuity levels of residents have increased particularly in the rest home area and the staffing levels on the afternoon shift have not been increased to manage this. Quality data evidenced the rate of falls is highest between 7pm and 8pm and staff reported they are struggling to cope.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staffing on the afternoon shift is increased to safely manage the care of residents, especially at peak times such as settling residents for the night, when falls are at their highest rate.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of nine files reviewed had long term care plans in place; however, two of the nine flies reviewed had no interRAI assessment completed eight weeks post admission. Evidence verified there is only two interRAI trained RNs (excluding the CSM) at Tainui to complete the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Six of the nine files reviewed did not have the documentation in place that described fully the residents’ needs. Three residents’ files had not been updated to reflect the change in care status from rest home to hospital. Care plans were not updated in line with changing needs and did not reflect the resident’s present needs (e.g., pain management strategies, weight loss management, mouth care management, and diabetic management). Short term care plans were instigated when a resident had an infection or a wound; however, not for any other short-term problems, for example, changes in medications, potential postural hypotension (requiring blood pressure monitoring). Behaviour management strategies were not evidenced to be documented fully in the behaviour management plan about new medications introduced and monitoring for their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did not always describe fully the required support the resident needed, to achieve the desired outcomes identified by the assessment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care plans describe fully the required support the resident requires to achieve the desired outcomes, as identified by the assessment process.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and there are clear lines of accountability for infection control matters in the organisation leading to the governing body and/or senior management.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role at Tainui has in the past been viewed as part of the CNM role. There was no CNM at Tainui from January 2020 until April 2020, and when the new CNM was recruited, the job description did not include the infection control coordinator role. As a result of this, there has been no one formally appointed to manage the IPC at Tainui. New staff have had no infection control training, other than that provided by the person who works alongside them in the training role. Incidents of infections are reported at the monthly meetings by the quality assurance coordinator; however, no formal analysis has been undertaken. Onsite training, and risk management strategies around Covid-19 has occurred as toolbox sessions daily, as per the information guidelines provided by the Ministry of Health, however this has not been recorded anywhere. Apart from this no formal training around infection control has occurred at Tainui in the past year. There is no evidence of handwashing or infection control audits being carried out in the past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Up until a week prior to audit there has been no infection control coordinator at Tainui since January 2020, to ensure there is a managed environment to minimise the risk of infections to residents, staff, and visitors.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the responsibility for infection control is clearly defined and that there is a managed environment that minimises the risk of infections to residents, staff, and visitors.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Tainui Home Trust Board - Tainui Resthome</w:t>
    </w:r>
    <w:bookmarkEnd w:id="58"/>
    <w:r>
      <w:rPr>
        <w:rFonts w:cs="Arial"/>
        <w:sz w:val="16"/>
        <w:szCs w:val="20"/>
      </w:rPr>
      <w:tab/>
      <w:t xml:space="preserve">Date of Audit: </w:t>
    </w:r>
    <w:bookmarkStart w:id="59" w:name="AuditStartDate1"/>
    <w:r>
      <w:rPr>
        <w:rFonts w:cs="Arial"/>
        <w:sz w:val="16"/>
        <w:szCs w:val="20"/>
      </w:rPr>
      <w:t>3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