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Agape Care Limited - Milton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Agape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Milton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December 2020</w:t>
      </w:r>
      <w:bookmarkEnd w:id="7"/>
      <w:r w:rsidRPr="009418D4">
        <w:rPr>
          <w:rFonts w:cs="Arial"/>
        </w:rPr>
        <w:tab/>
        <w:t xml:space="preserve">End date: </w:t>
      </w:r>
      <w:bookmarkStart w:id="8" w:name="AuditEndDate"/>
      <w:r w:rsidR="00A4268A">
        <w:rPr>
          <w:rFonts w:cs="Arial"/>
        </w:rPr>
        <w:t>17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Milton Court Rest Home is privately owned and operated.  The rest home provides rest home and dementia level of care for up to 36 residents.  On the day of the audit there were 31 residents.</w:t>
      </w:r>
    </w:p>
    <w:p w:rsidRPr="00A4268A">
      <w:pPr>
        <w:spacing w:before="240" w:line="276" w:lineRule="auto"/>
        <w:rPr>
          <w:rFonts w:eastAsia="Calibri"/>
        </w:rPr>
      </w:pPr>
      <w:r w:rsidRPr="00A4268A">
        <w:rPr>
          <w:rFonts w:eastAsia="Calibri"/>
        </w:rPr>
        <w:t xml:space="preserve">Operational management is provided by the owner/manager (registered nurse) with the registered nurse providing clinical oversight.  The residents and relatives interviewed spoke positively about the care and support provided.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Services Standards and the contract with the district health board.  The audit process included the review of policies and procedures, the review of residents and staff files, observations and interviews with residents, relatives, management, staff, and a general practitioner.    </w:t>
      </w:r>
    </w:p>
    <w:p w:rsidRPr="00A4268A">
      <w:pPr>
        <w:spacing w:before="240" w:line="276" w:lineRule="auto"/>
        <w:rPr>
          <w:rFonts w:eastAsia="Calibri"/>
        </w:rPr>
      </w:pPr>
      <w:r w:rsidRPr="00A4268A">
        <w:rPr>
          <w:rFonts w:eastAsia="Calibri"/>
        </w:rPr>
        <w:t xml:space="preserve">The two shortfalls identified at the previous certification audit around review of policies and environment shortfalls have been addressed.  </w:t>
      </w:r>
    </w:p>
    <w:p w:rsidRPr="00A4268A">
      <w:pPr>
        <w:spacing w:before="240" w:line="276" w:lineRule="auto"/>
        <w:rPr>
          <w:rFonts w:eastAsia="Calibri"/>
        </w:rPr>
      </w:pPr>
      <w:r w:rsidRPr="00A4268A">
        <w:rPr>
          <w:rFonts w:eastAsia="Calibri"/>
        </w:rPr>
        <w:t xml:space="preserve">Improvements identified at this audit are required to the following: timeframes; and to updating of the dietary assessment for each resident.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and a complaints register maintained.  Complaints were described as being able to be responded to in a timely manner.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Milton Court Rest Home is implementing a quality and risk management system.  Key components of the quality management system include management of complaints, implementation of an internal audit schedule, annual satisfaction surveys, incidents and accidents, review of infections, review of risk and monitoring of health and safety including hazards.  </w:t>
      </w:r>
    </w:p>
    <w:p w:rsidRPr="00A4268A">
      <w:pPr>
        <w:spacing w:before="240" w:line="276" w:lineRule="auto"/>
        <w:rPr>
          <w:rFonts w:eastAsia="Calibri"/>
        </w:rPr>
      </w:pPr>
      <w:r w:rsidRPr="00A4268A">
        <w:rPr>
          <w:rFonts w:eastAsia="Calibri"/>
        </w:rPr>
        <w:t xml:space="preserve">Human resources policies are in place, including a documented rationale for determining staffing levels and skill mixes.  There is a roster that provides sufficient and appropriate coverage for the effective delivery of care and there are staff on duty at all times to meet needs of residents in both the rest home and dementia unit.  There is an implemented orientation programme that provides new staff with relevant information for safe work practice.  The annual training plan is implemented.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A registered nurse is responsible for each stage of service provision.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 and caregivers are responsible for the administration of medicines.  Medication charts are reviewed three-monthly by the general practitioner. </w:t>
      </w:r>
    </w:p>
    <w:p w:rsidRPr="00A4268A" w:rsidP="00621629">
      <w:pPr>
        <w:spacing w:before="240" w:line="276" w:lineRule="auto"/>
        <w:rPr>
          <w:rFonts w:eastAsia="Calibri"/>
        </w:rPr>
      </w:pPr>
      <w:r w:rsidRPr="00A4268A">
        <w:rPr>
          <w:rFonts w:eastAsia="Calibri"/>
        </w:rPr>
        <w:t xml:space="preserve">The activities coordinators implement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Residents commented positively on the meals.  Snacks are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reactive and planned maintenance programme documented.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maintains a restraint-free environment.  There are policies and procedures to follow if restraint or enablers are required.  There were no residents using restraints or enablers during the audit and the service has maintained a restraint free environment since 2012.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  There have not been any outbreaks since the last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staff were interviewed as part of the audit: the owner/manager, registered nurse, two caregivers, the activities coordinator and cook.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at entry to the service.  A record of all complaints, both verbal and written is maintained by the owner/manager using a complaints’ register.  There has been one complaint in 2019 and one in 2020.  The complaint in 2019 was raised by the DHB following notification by the manager.  The complaint was thoroughly investigated to the satisfaction of the DHB who signed off closure of the incident.  Actions were put in place to ensure that the same incident did not occur again.  The complaint raised in 2020 has been managed in line with Right 10 of the Code.  A review of complaints documentation evidenced resolution of the complaint to the satisfaction of the complainant and advocacy offered.  Residents and family members advised that they were aware of the complaint’s procedure.  Discussion around concerns, complaints and compliments were evident in facility meeting minutes.  Concerns/complaints forms are available at the front entrance.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and staff when interviewed, were aware of the right of residents and others to complain and all stated that this allowed them an opportunity to improve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Three relatives interviewed (two from the rest home and one from the dementia unit) and six rest home residents interviewed were aware of the open-door policy and confirmed on interview that the staff and management were approachable and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can feedback on service delivery through three monthly resident and relative meetings and annual surveys.  Meeting minutes evidenced that previous matters are discussed and closed out as concerns are resolved.  Accident/incident forms reviewed evidenced that relatives had been informed promptly of any incidents/accidents; family interviewed confirmed that they were notified of any changes to resident’s health status and were kept well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must pay for that is not covered by the agreement.  An interpreter service is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around both the rest home and dementia units and models of care.  The welcome pack included a pamphlet around dementia care.  Family stated that they were well informed around the need for a secure unit for people with dementia.  All residents and family interviewed stated that they had received information on entry to the service both verbally and in a written format.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Milton Court Rest Home provides rest home level of care and dementia level of care for up to 36 residents.  There are 17 rest home beds and 19 dementia care beds.  On the day of audit there were 15 rest home residents and 16 residents in the dementia unit.  There was one resident under a younger person with a disability (YPD) contract and all other residents were under the Aged Residential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Milton Court is privately owned and operated by the owner/manager (registered nurse with a current practicing certificate) since 2014.  The second joint owner has responsibilities for the building maintenance and is the facility health and safety officer.  The owner/manager is responsible for the daily operation of the business and is on site at least two days a week and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supported by a full-time registered nurse who has been at Milton Court since graduation in 2014.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business plan in place for 2020 which identifies the philosophy of care, mission statement, business objectives and specific aims for the service.  The 2019 business goals and objectives have been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maintained at least eight hours annually of professional development related to managing a rest home and dementia care facility.  Professional development includes attending district health board manager meetings three times a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risk management plan in place that is reviewed annually.  The service has in place a range of policies and procedures to support service delivery that have been developed by an external consultant.  These have been reviewed since the last audit and the previous shortfall identified at certification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includes an annual internal audit schedule that has been implemented.  Audit summaries and corrective action plans are documented where a noncompliance is identified.  Issues and outcomes are reported and discussed at the staff meeting.  Corrective action plans reviewed showed documentation of resolution of issues with these closed out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meeting includes discussion around all aspects of the quality programme including incidents, accidents, complaints, health and safety, infection control, clinical issues, staffing, survey results and discussion of improvements.  The meeting serves as a forum to review progress towards goals documented in the quality plan.  Discussions with the registered nurse, the owner/manager, and staff, confirmed their involvement in the quality programme.  Two staff meetings have been held during the pandemic (Covid-19), however during this time a group chat was set up with regular meetings held.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usually held quarterly with one held in 2020 to date.  Residents and family were kept informed through phone calls and emails at least monthly during the Covid-19 pandemic.  The rest home residents interviewed confirmed that they value meetings and other forms of communication to raise issues and to discuss any improvements or suggestions.  All stated that they were kept well informed of any risks or improvements, and if issues, these were resolved in a timely manner.  Meeting minutes showed evidence of resolution of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satisfaction survey for residents and relatives.  The August 2020 results showed that all residents and relatives who responded were satisfied or very satisfied with the service provided.  This correlates with the responses from residents and relatives interviewed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There are implemented risk management and health and safety policies and procedures in place, including accident and hazard management.  Falls prevention strategies are implemented for individual residents and staff receive training to support falls prevention.  The service collects information on resident incidents and accidents as well as staff incidents/accidents and provides follow-up where required.  The joint owner is responsible for building maintenance and is a health and safety officer who has completed level one and two of health and safety qualifications.  Staff complete hazard forms for identified hazards which are reviewed by the health and safety officer.  All hazard forms reviewed showed evidence of resolution of issues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the risk management and health and safety framework, there is an accident/incident policy.  Ten incidents from July to November 2020 were reviewed.  All incident forms identified timely review by the registered nurse both of the incident and of the resident.  Corrective actions to minimise resident risk were documented.  Incident forms had been signed off with evidence that appropriate actions had been put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healthcare assistants interviewed could discuss the incident reporting process.  The owner/manager and registered nurse interviewed could describe situations that would require reporting to relevant authorities.  There has been one section 31 reported to external authorities (MoH and DHB)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Five staff files were reviewed (registered nurse, three healthcare assistants and the cook) and included all appropriate documentation.  Staffing levels are stable with some staff having been employed for over six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copy of practising certificates is kept on record.  The owner/manager and registered nurse have a current annual practicing certificate along with other health professionals who visit the service (general practitioner, pharmacist, podiatrist,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and staff selection process requires that relevant checks are completed to validate the individual’s qualifications, experience, and skills.  Reference checks are carried out for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that provides new staff with relevant information for safe work practice.  Staff interviewed were able to describe the orientation process and stated that they believed new staff were adequately orientated to the service.  Annual appraisals are conducted for all staff noting that three have not been completed in 2020 to date because of Covid-19 pandemic.  These are scheduled to be completed by January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an in-service calendar for 2020 which exceeded eight hours annually for staff who attended the training offered.  There has been an emphasis on staff attending online training with good attendance sighted.  Completion of this is closely monitored by the registered nurse who also sits with some staff for whom English is a second language to help with understanding of the topic.  There is now 100% completion of the topics that have been offered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 healthcare assistants working in the dementia care unit.  Seven have completed the required dementia unit standards; two are in the process of completing the required dementia unit standards and one is enrolled.  Two are newly appointed and are always placed on duty with a senior healthcare assistant who has completed the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and the registered nurse are both interRAI trained.  The registered nurse completes most of the interRAI assessments and the owner/manager is able to provide support when required or if the registered nurse is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human resources policy determines staffing levels and skill mixes for safe service delivery.  There is a roster that provides sufficient and appropriate coverage for the effective delivery of care and support.  The registered nurse is on duty during the day Monday to Friday and shares the on-call responsibility with the owner/manager.  An experienced healthcare assistant is the day supervisor who coordinates the team of healthcare assistants on duty.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enough staff numbers in the rest home and the dementia care unit that meets contractual requirements.  This includes two staff on each shift in the dementia unit (noting that the dementia unit is divided into two units although the door between the units is opened during the day so that residents can engage during activities) and one on each shift in the rest home.  The registered nurse provides support at all times across both the rest home and dementia unit with the owner/manager also providing registered nurse support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always adequate staff on duty.  Staff stated they feel supported by the owner/manager and the RN who respond quickly to after-hours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All policies and procedures had been adhered to.  There are no standing orders.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paper-based and blister pack system.  Medications are checked on arrival and any pharmacy errors recorded and fed back to the supplying pharmacy.  The RN and senior medication competent caregivers administer medications.  All staff have up-to-date medication competencies and there has been medication education this year.  The medication fridge temperature is checked daily.  Eye drops are dated once opened.  The ambient temperature of the medication room was not taken prior to the audit however a thermometer was purchased, and temperatures started being recorded on the day after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medication sheets.  Ten medication charts were reviewed.  Medications are reviewed at least three-monthly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cook who works Tuesday to Saturday and one cook who works Sundays and Mondays.  There is a kitchenhand on each day from 0700-1300 and 1600-1830.  The head cook, and weekend cook have a current food safety certificate.  The head cook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There is a well-equipped kitchen, and all meals are cooked on site.  Meals are served in the dining rooms from bain maries.  Meals going to rooms on trays have covers to keep the food warm.  Special equipment such as lipped plates is available.  On the first day of audit, meals were observed to be hot and well-presented and residents stated that they were enjoying their meal.  The four-weekly menus were last reviewed by a dietitian in April 2019.</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(link 1.3.3.3).  This is expected to be reviewed six-monthly as part of the care plan review (link 1.3.3.3).  The cook stated that they are not always informed of changes to residents’ dietary needs.  Special diets and likes and dislikes were noted in a folder.  All residents and family members interviewed were satisfied with the meals. The food control plan is current.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stated that they notify family members about any changes in their relative’s health status and family interviewed confirmed this.  All care plans sampled had interventions documented to meet the needs of the resident.  Care plans when documented have been updated as residents’ needs changed (link 1.3.3.3). </w:t>
            </w:r>
          </w:p>
          <w:p w:rsidR="00EB7645" w:rsidRPr="00BE00C7" w:rsidP="00BE00C7">
            <w:pPr>
              <w:pStyle w:val="OutcomeDescription"/>
              <w:spacing w:before="120" w:after="120"/>
              <w:rPr>
                <w:rFonts w:cs="Arial"/>
                <w:b w:val="0"/>
                <w:lang w:eastAsia="en-NZ"/>
              </w:rPr>
            </w:pPr>
            <w:r w:rsidRPr="00BE00C7">
              <w:rPr>
                <w:rFonts w:cs="Arial"/>
                <w:b w:val="0"/>
                <w:lang w:eastAsia="en-NZ"/>
              </w:rPr>
              <w:t>Resident falls are reported on accident forms and written in the progress notes.  Neurological observations are completed for unwitnessed falls or falls where residents hit their head.</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documented, and wound monitoring occurs as planned.  There is currently one wound (skin tear) being treated. There are no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vital signs, wounds, and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coordinator who provides an activities programme in the rest home for four hours a week and ten hours a week over five days in the dementia unit.  The residents were observed in the dementia unit while the activities programme was being implemented and all were seen to be engaged.  Poi had been made by the staff and residents and were used with music to encourage singing and exercise.  The activities coordinator is newly appointed having been a cook at a previous rest home and actively engaged with residents.  Caregivers also provided activities for residents.  On the days of audit, rest home residents were observed going for walks, enjoying music and movement with poi used, balloon tennis and massage for one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whiteboards.  The programme in the dementia unit can vary from the printed programme due to residents’ mood and fatigue.   Residents have the choice of a variety of activities in which to participate, and every effort is made to ensure activities are meaningful and tailored to residents’ needs.  These include exercises, games, quizzes, music and walks outside.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Residents who wish to attend church go out with their families/friends, and Catholic volunteers come in to give communion weekly.</w:t>
            </w:r>
          </w:p>
          <w:p w:rsidR="00EB7645" w:rsidRPr="00BE00C7" w:rsidP="00BE00C7">
            <w:pPr>
              <w:pStyle w:val="OutcomeDescription"/>
              <w:spacing w:before="120" w:after="120"/>
              <w:rPr>
                <w:rFonts w:cs="Arial"/>
                <w:b w:val="0"/>
                <w:lang w:eastAsia="en-NZ"/>
              </w:rPr>
            </w:pPr>
            <w:r w:rsidRPr="00BE00C7">
              <w:rPr>
                <w:rFonts w:cs="Arial"/>
                <w:b w:val="0"/>
                <w:lang w:eastAsia="en-NZ"/>
              </w:rPr>
              <w:t>Currently there are no van outings as the weather encourages residents to go out walking (or being pushed in wheelchairs) to the beach (one block away).  Van outings will start again as soon as the weather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entertainers visiting the facility.  Special events such as birthdays, Easter, Anzac Day, and Queens’s birthday are recognised and celebrated.  Residents are currently doing some Easter craft work.  There is pet therapy weekly.  There is community input from volunteers who come in weekly to have one-on–one chats.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when this is completed.  Activity plans when documented are evaluated at least six-monthly at the same time as the review of the long-term care plan (link 1.3.3.3).  Residents interviewed stated that they enjoy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care plans reviewed had been evaluated by the registered nurses six-monthly or when changes to care occurs if care plans are completed (link 1.3.3.3).  Short-term care plans for short-term needs are evaluated and signed off as resolved or added to the long-term care plan as an ongoing problem.  Activities plans are in place for four of the five residents with these evaluated six-monthly (link 1.3.7.1).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multidisciplinary review involves the RN, GP, and resident/family if they wish to attend.  There are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1 June 2021.  There is a maintenance person who works eight hours a week over two days.  They are assisted by the co-owner.  Contractors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Electrical equipment has been tested and tagged.  The scales are checked annually.  Hot water temperatures have been monitored randomly in resident areas and were within the acceptable range.  The rest home communal lounges, hallways and bedrooms are carpeted.  The dementia communal lounges, hallways and bedrooms have vinyl.   Corridors are wide, have safety rails and promote safe mobility with the use of mobility aids.  Residents were observed moving freely around the areas with mobility aids where required.  The external areas and gardens were well maintained.  There is an enclosed secure outdoor area for each of the dementia units.  All outdoor areas have seating and shade.  There is safe access to all communal areas.  Fencing in the dementia unit has been reinforced to ensure safety of residents.  The dementia unit is at times separated by a door within the unit that is locked by a pin code (noting that if the door is locked, there is always a staff member in each ‘wing’).  Residents in each unit are able to access the secure outdoor garden through an external door from their unit.  The shortfall identified at the previous certification audit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servery in the dementia unit now has a sliding ‘door’ that operates as a barrier between the kitchen and dining area.  The shortfall identified at the previous certification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adequate equipment to safely deliver care for rest home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(registered nurse) collates information obtained through surveillance to determine infection control activities and education needs in the facility.  Infection control data including trends is discussed with the owner/manager and at staff meetings.  Meeting minutes are available to staff.  Trends are identified, analysed and preventative measures put in place.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are supplies of personal protective equipment and hand sanitizers for at least two weeks should an outbreak occur. Visitors are asked not to visit if unwell.  Hand sanitisers are appropriately placed throughout the facility.  Residents are offered the annual influenza vaccine.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Policy includes guidelines and definitions for use of enablers and restraint.  The owner/manager and registered nurse both operate as the restraint coordinators.  On the day of the audit there were no residents using restraints or enablers.  Restraint education and challenging behaviours is included in the annual training programme and occurred in 2020 for all care staff.  The service has been restraint free since 2012.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36"/>
        <w:gridCol w:w="1280"/>
        <w:gridCol w:w="4345"/>
        <w:gridCol w:w="4818"/>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This is expected to be reviewed six-monthly as part of the care plan review.  The cook did not have a dietary profile including likes and dislikes that had been reviewed as changes occurred or six monthly and they stated that they were not always informed of changes by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nutritional profile (dietary assessment) was not updated six monthly or as changes occurred with the cook informed of changes as these occurred.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Update each resident’s nutritional profile (dietary assessment) six monthly or as changes occur with the cook informed of changes.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had a number of issues that have impacted on the registered nurse ability to complete interRAI assessments, care plans and evaluations in a timely manner. This has included responding to the pandemic (Covid-19) and health issues for a team member.  The registered nurse has a plan to address the gaps and is working towards completion of documentation.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care plans and evaluations are not completed in a timely manner as follows: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 Four of five interRAI assessments were not completed initially or reviewed in a timely manner.  (ii) Three of five initial care plans were not completed within three weeks after admission. (iii). One resident (admitted in November 2019) did not have a long-term care plan (an initial care plan and short-term care plan were being used). (iv). Four of five care plans were not reviewed in a timely manner with evaluations therefore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the plan to ensure that assessments, care plans and evaluations are completed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Agape Care Limited - Milton Court Rest Home</w:t>
    </w:r>
    <w:bookmarkEnd w:id="58"/>
    <w:r>
      <w:rPr>
        <w:rFonts w:cs="Arial"/>
        <w:sz w:val="16"/>
        <w:szCs w:val="20"/>
      </w:rPr>
      <w:tab/>
      <w:t xml:space="preserve">Date of Audit: </w:t>
    </w:r>
    <w:bookmarkStart w:id="59" w:name="AuditStartDate1"/>
    <w:r>
      <w:rPr>
        <w:rFonts w:cs="Arial"/>
        <w:sz w:val="16"/>
        <w:szCs w:val="20"/>
      </w:rPr>
      <w:t>16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