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Rest Homes Limited - Makoha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Rest Homes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Makoha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 Residential disability services – Sensory</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February 2021</w:t>
      </w:r>
      <w:bookmarkEnd w:id="7"/>
      <w:r w:rsidRPr="009418D4">
        <w:rPr>
          <w:rFonts w:cs="Arial"/>
        </w:rPr>
        <w:tab/>
        <w:t xml:space="preserve">End date: </w:t>
      </w:r>
      <w:bookmarkStart w:id="8" w:name="AuditEndDate"/>
      <w:r w:rsidR="00A4268A">
        <w:rPr>
          <w:rFonts w:cs="Arial"/>
        </w:rPr>
        <w:t>3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Rest Homes Limited, trading as Makoha Rest Home provides residential services for up to 34 residents.</w:t>
      </w:r>
    </w:p>
    <w:p w:rsidRPr="00A4268A">
      <w:pPr>
        <w:spacing w:before="240" w:line="276" w:lineRule="auto"/>
        <w:rPr>
          <w:rFonts w:eastAsia="Calibri"/>
        </w:rPr>
      </w:pPr>
      <w:r w:rsidRPr="00A4268A">
        <w:rPr>
          <w:rFonts w:eastAsia="Calibri"/>
        </w:rPr>
        <w:t>This certification audit was conducted against the Health and Disability Service Standards and the service provider’s contract with the district health board (DHB). The audit included a review of policies and procedures, quality related records, samples of both resident and staff files, observations and interviews with residents, staff, management, one of the directors by telephone, a general practitioner (GP) and a contracted physiotherapist. Repeated attempts to contact and interview family members were unsuccessful.</w:t>
      </w:r>
    </w:p>
    <w:p w:rsidRPr="00A4268A">
      <w:pPr>
        <w:spacing w:before="240" w:line="276" w:lineRule="auto"/>
        <w:rPr>
          <w:rFonts w:eastAsia="Calibri"/>
        </w:rPr>
      </w:pPr>
      <w:r w:rsidRPr="00A4268A">
        <w:rPr>
          <w:rFonts w:eastAsia="Calibri"/>
        </w:rPr>
        <w:t>There had been no changes with the service since the previous audit.</w:t>
      </w:r>
    </w:p>
    <w:p w:rsidRPr="00A4268A">
      <w:pPr>
        <w:spacing w:before="240" w:line="276" w:lineRule="auto"/>
        <w:rPr>
          <w:rFonts w:eastAsia="Calibri"/>
        </w:rPr>
      </w:pPr>
      <w:r w:rsidRPr="00A4268A">
        <w:rPr>
          <w:rFonts w:eastAsia="Calibri"/>
        </w:rPr>
        <w:t>There were two areas of improvement identified during this audit. These related to evaluation of short term care plans and the ability to provide electricity in the event of main supplies failure.  A rating of continuous improvement was awarded for education.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and the nationwide health and disability advocacy service is brought to the attention of residents on entry. Policies and procedures that support the resident’s rights are implemented by staff. Residents interviewed were aware of their rights and satisfied that they were being met. There are established linkages with community groups which the residents make use of. The complaints process meets consumer rights legislation.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An annual strategic plan describes the scope, direction, goals, values and mission statement of the organisation. The owners/directors monitor organisation performance and review the strategic direction of the organisation. Responsibility for facility management and daily operations are shared by the office manager and the clinical nurse manager.</w:t>
      </w:r>
    </w:p>
    <w:p w:rsidRPr="00A4268A">
      <w:pPr>
        <w:spacing w:before="240" w:line="276" w:lineRule="auto"/>
        <w:rPr>
          <w:rFonts w:eastAsia="Calibri"/>
        </w:rPr>
      </w:pPr>
      <w:r w:rsidRPr="00A4268A">
        <w:rPr>
          <w:rFonts w:eastAsia="Calibri"/>
        </w:rPr>
        <w:t>The quality and risk management system collects quality data, identifies trends and leads to improvements. Corrective actions are developed and implemented as required. Staff are involved in the quality and risk programme, and feedback is sought from residents and families. Policies and procedures support service delivery. These were current and are reviewed and updated as needed at regular intervals.</w:t>
      </w:r>
    </w:p>
    <w:p w:rsidRPr="00A4268A">
      <w:pPr>
        <w:spacing w:before="240" w:line="276" w:lineRule="auto"/>
        <w:rPr>
          <w:rFonts w:eastAsia="Calibri"/>
        </w:rPr>
      </w:pPr>
      <w:r w:rsidRPr="00A4268A">
        <w:rPr>
          <w:rFonts w:eastAsia="Calibri"/>
        </w:rPr>
        <w:t xml:space="preserve">Adverse events are documented with corrective actions implemented. Actual and potential risks, including health and safety risks, are identified and mitigated.  </w:t>
      </w:r>
    </w:p>
    <w:p w:rsidRPr="00A4268A">
      <w:pPr>
        <w:spacing w:before="240" w:line="276" w:lineRule="auto"/>
        <w:rPr>
          <w:rFonts w:eastAsia="Calibri"/>
        </w:rPr>
      </w:pPr>
      <w:r w:rsidRPr="00A4268A">
        <w:rPr>
          <w:rFonts w:eastAsia="Calibri"/>
        </w:rPr>
        <w:t xml:space="preserve">The appointment, orientation and management of staff adheres to good employment practices. There is a systematic approach to identifying and delivering ongoing staff education. This supports safe service delivery and staff performance is monitored via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Management of health records meets the requirements of this standard and the NZ Health Records standard. Residents’ records were being maintained as required.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Information about the service is made available to all residents. Registered nurses work in partnership with residents to assess, set goals and develop and review care-plans. Assessments and care-plans are completed within appropriate timeframes. Care is provided in collaboration with a multidisciplinary team. Care assistants support residents with activities of daily living. </w:t>
      </w:r>
    </w:p>
    <w:p w:rsidRPr="00A4268A" w:rsidP="00621629">
      <w:pPr>
        <w:spacing w:before="240" w:line="276" w:lineRule="auto"/>
        <w:rPr>
          <w:rFonts w:eastAsia="Calibri"/>
        </w:rPr>
      </w:pPr>
      <w:r w:rsidRPr="00A4268A">
        <w:rPr>
          <w:rFonts w:eastAsia="Calibri"/>
        </w:rPr>
        <w:t xml:space="preserve">Medication management reflects legislative requirements and best practice. Registered nurses receive annual education to manage and administer medications. </w:t>
      </w:r>
    </w:p>
    <w:p w:rsidRPr="00A4268A" w:rsidP="00621629">
      <w:pPr>
        <w:spacing w:before="240" w:line="276" w:lineRule="auto"/>
        <w:rPr>
          <w:rFonts w:eastAsia="Calibri"/>
        </w:rPr>
      </w:pPr>
      <w:r w:rsidRPr="00A4268A">
        <w:rPr>
          <w:rFonts w:eastAsia="Calibri"/>
        </w:rPr>
        <w:t xml:space="preserve">The activity programme is led by a qualified diversional therapist. The programme maintains community linkages and acknowledges the cultural needs of the residents. There is a programme for aged care residents and for young persons with a disability. </w:t>
      </w:r>
    </w:p>
    <w:p w:rsidRPr="00A4268A" w:rsidP="00621629">
      <w:pPr>
        <w:spacing w:before="240" w:line="276" w:lineRule="auto"/>
        <w:rPr>
          <w:rFonts w:eastAsia="Calibri"/>
        </w:rPr>
      </w:pPr>
      <w:r w:rsidRPr="00A4268A">
        <w:rPr>
          <w:rFonts w:eastAsia="Calibri"/>
        </w:rPr>
        <w:t xml:space="preserve">Meals are prepared and cooked on site. Resident’s food preferences and requirements are catered for.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Waste and hazardous substances are well managed. Staff use protective equipment and clothing. Chemicals, soiled linen and equipment are safely stored. The bulk of laundry is undertaken offsite and other laundry and cleaning is provided by designated staff. The effectiveness of cleaning and laundry is evaluated regularly.</w:t>
      </w:r>
    </w:p>
    <w:p w:rsidRPr="00A4268A">
      <w:pPr>
        <w:spacing w:before="240" w:line="276" w:lineRule="auto"/>
        <w:rPr>
          <w:rFonts w:eastAsia="Calibri"/>
        </w:rPr>
      </w:pPr>
      <w:r w:rsidRPr="00A4268A">
        <w:rPr>
          <w:rFonts w:eastAsia="Calibri"/>
        </w:rPr>
        <w:t xml:space="preserve">The home is kept clean and fit for purpose. The furniture and chattels are in good condition and are regularly maintained. External areas are accessible and safe for residents’ use. Communal and individual spaces are maintained at a comfortable temperature.  </w:t>
      </w:r>
    </w:p>
    <w:p w:rsidRPr="00A4268A">
      <w:pPr>
        <w:spacing w:before="240" w:line="276" w:lineRule="auto"/>
        <w:rPr>
          <w:rFonts w:eastAsia="Calibri"/>
        </w:rPr>
      </w:pPr>
      <w:r w:rsidRPr="00A4268A">
        <w:rPr>
          <w:rFonts w:eastAsia="Calibri"/>
        </w:rPr>
        <w:t>Staff are trained in emergency procedures, use of emergency equipment and supplies and they attend regular fire drills. Residents reported a timely staff response to call bells.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Policies and procedures that support the minimisation of restraint are in place. Four enablers and six restraints are in use at the time of audit, all for safety reasons or to promote independence and mobility.  Assessment, approval and monitoring process with regular reviews of each restraint intervention occurs within acceptable timeframes.  The use of enablers is voluntary. Staff demonstrated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meets the needs of the organisation and undergoes annual review. All infection control policies reflect best practice and contribute to low infection rates. A registered nurse implements, monitors and reports on the programme to the staff and the directors of the service. Staff are educated in the principles of infection prevention and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99"/>
        <w:gridCol w:w="1280"/>
        <w:gridCol w:w="90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 during the audit confirmed that the residents had all care provided in accordance with the code of rights. Education records confirmed staff were provided education pertaining to all aspects of consumer rights legislation. Staff were able to describe consumer rights and gave examples of how they applied these in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 are provided with information about the services provided on admission. This includes the mission statement, philosophy, residents’ responsibilities, feedback options and specific consent forms. In clinical records sampled, signed consent forms included consent for photographs, outings, storage of health records and permission to share health information with family. All clinical records sampled also held a signed admission agreement and signed resuscitation status forms. Some clinical files contained advance directives. Staff interviewed discussed the principles of informed consent, and methods used to determine that the resident has understood the information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the advocacy and support service is provided as part of the admission documentation, with written and verbal information given. Residents interviewed confirmed that they were aware of the advocacy and support service and were able to contact the service if required. Staff interviewed were aware of how to access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and friends are able to visit within visiting hours, which are flexible according to need. Weekly outings are arranged and residents are encouraged to attend. School and preschool groups visit Makoha to provide entertainment. Residents have taken part in community activities including being involved in the Christmas parade, fundraising for community groups and the pink ribbon walk. Some residents attend community activity programmes. Residents interviewed confirmed they attended outings and took part in community activities. During the audit residents were seen to attend community activities and go on an arranged outing.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including the complaints register reviewed meet the requirements of Right 10 of the Code.  Information on the complaint process is provided to residents and families during admission and those interviewed said they had no hesitation in submitting complaints. Resident meeting minutes confirmed that residents are encouraged to raise concerns. </w:t>
            </w:r>
          </w:p>
          <w:p w:rsidR="00EB7645" w:rsidRPr="00BE00C7" w:rsidP="00BE00C7">
            <w:pPr>
              <w:pStyle w:val="OutcomeDescription"/>
              <w:spacing w:before="120" w:after="120"/>
              <w:rPr>
                <w:rFonts w:cs="Arial"/>
                <w:b w:val="0"/>
                <w:lang w:eastAsia="en-NZ"/>
              </w:rPr>
            </w:pPr>
            <w:r w:rsidRPr="00BE00C7">
              <w:rPr>
                <w:rFonts w:cs="Arial"/>
                <w:b w:val="0"/>
                <w:lang w:eastAsia="en-NZ"/>
              </w:rPr>
              <w:t>The complaint register contained evidence that the eight complaints received in 2020, and five complaints in 2019, had been acknowledged immediately and investigated within a suitable timeframe. There was evidence of open disclosure, and all complainants were kept informed during the investigation phase. The complaints submitted had been closed on the days of audit.  There had been no known complaints to the Health and Disability Commissioner (HDC) or the DHB nor any requests for advocacy services to provide support for residents’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good understanding of the complaint process and what actions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of Health and Disability Service Consumer Rights (the Code) was on display in multiple areas of the facility in Maori, English and sign language. The resident’s code of rights and national advocacy information is discussed on admission with written information also provided to the resident and family. All residents interviewed were aware of their rights, and of the advocacy service, and confirmed that their rights were being met. Residents rights and the advocacy service are discussed at resident meetings as required, this was confirmed by resident and staff interviewed. Information informing residents of the advocacy service was sighted on display during the audit. All staff including the management team make themselves available to residents and their families to discuss the code, the advocacy service or/and any other topic that the resident or family wish to discuss.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privacy and dignity policy which supports the resident’s right to privacy and to be treated with dignity. During the audit staff were observed respecting resident’s privacy and during interview staff were able to describe how they ensure privacy and respect for the resident and their property. Residents interviewed confirmed they had suitable privacy and were treated with dignity and respect. All clinical files sampled identified the resident’s ethnic group and any identified cultural needs. Residents may decide to attend a community church service and go to church if they choose. Residents have a single room with an ensuite shared between two rooms. Staff interviewed were aware of the risk of abuse and neglect to the resident and discussed strategies and procedures in place to protect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policy that is embedded in practice. The lifestyle support partner identifies as Maori and works in partnership with Maori residents to complete an individualised Maori health care plan. The service has existing networks with local Maori groups that will provide support to Maori residents as required. Whanau members visit residents as they are able. The lifestyle support partner speaks some Te Reo, which is embraced by the Maori residents, some of whom also speak Te Reo. Staff interviewed were familiar with Māori cultural and spiritual beliefs, and observation during the audit demonstrated a knowledge and respect of these values. Maori residents interviewed said that care was provided with respect and in accordance with their culture and beliefs. One Maori resident stated that she uses Rongoa brought to her by her whanau.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cultural policy that supports practice to enable the cultural needs of the residents to be met. Individual cultural requirements are identified during the admission process and care plans are developed in a manner to ensure the requirements are met. All residents interviewed confirmed that they had been asked about their cultural needs and were involved in the care planning to ensure appropriate care was provided. Staff interviewed were familiar with the cultural needs of each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interviewed were able to describe discrimination and professional boundaries they adhered to in daily practice to avoid discrimination. Observations and discussion with residents confirmed a discrimination free environment. Orientation and ongoing education addresses abuse, neglect, privacy, dignity and discrimination.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based on best practice, and an annual audit programme is implemented to monitor compliance with these policies. The education programme for staff, is reviewed annually and is relevant to the service type (refer criterion 1.2.7.5 regarding the continuous improvement rating). Programmes are specific for the position/role held. There are linkages to the local Maori community that enables access to appropriate cultural support for residents. Communication with general practice (GP) services is timely and contributes to positive health outcomes. Residents interviewed stated they were happy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verbal and non-verbal communication skills were observed to be used by the staff during the audit. Some examples included yes/no buttons, ipads, image cards.  It was reported that interpreter services could be accessed if required.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monthly. Residents interviewed confirmed they attended the meetings which were an opportunity to discuss any issues. The residents stated that issues raised were addressed by staff and/or management as appropriate, resulting in satisfactory conclusions. All clinical records sampled had documentation confirming that family were notified of any incidents, changes in health status and resultant care plan modification.  There is an open disclosure policy that is current and meets requirements. Staff interviewed were aware of the principles of open disclosure.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Makoha rest home and hospital is owned and operated by the directors who are both registered medical practitioners. The strategic plan contains a mission statement and outlines the purpose, values, scope, and direction of the organisation. This is reviewed annually by the directors as confirmed by telephone interview. </w:t>
            </w:r>
          </w:p>
          <w:p w:rsidR="00EB7645" w:rsidRPr="00BE00C7" w:rsidP="00BE00C7">
            <w:pPr>
              <w:pStyle w:val="OutcomeDescription"/>
              <w:spacing w:before="120" w:after="120"/>
              <w:rPr>
                <w:rFonts w:cs="Arial"/>
                <w:b w:val="0"/>
                <w:lang w:eastAsia="en-NZ"/>
              </w:rPr>
            </w:pPr>
            <w:r w:rsidRPr="00BE00C7">
              <w:rPr>
                <w:rFonts w:cs="Arial"/>
                <w:b w:val="0"/>
                <w:lang w:eastAsia="en-NZ"/>
              </w:rPr>
              <w:t>Day to day management of the service and staff leadership is shared between the full time clinical nurse manager (CNM) and the office manager who are both on site Monday to Friday. Both managers attend at least eight hours of education related to their roles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care is overseen by a registered nurse (RN)/ clinical unit coordinator who also maintains the quality system and leads the other RNs. These two RN leaders hold tertiary health qualifications and are suitably skilled and experienced with delivery of service to older people. </w:t>
            </w:r>
          </w:p>
          <w:p w:rsidR="00EB7645" w:rsidRPr="00BE00C7" w:rsidP="00BE00C7">
            <w:pPr>
              <w:pStyle w:val="OutcomeDescription"/>
              <w:spacing w:before="120" w:after="120"/>
              <w:rPr>
                <w:rFonts w:cs="Arial"/>
                <w:b w:val="0"/>
                <w:lang w:eastAsia="en-NZ"/>
              </w:rPr>
            </w:pPr>
            <w:r w:rsidRPr="00BE00C7">
              <w:rPr>
                <w:rFonts w:cs="Arial"/>
                <w:b w:val="0"/>
                <w:lang w:eastAsia="en-NZ"/>
              </w:rPr>
              <w:t>The CNM provides the directors with fortnightly reports including outputs, staffing, risk, equipment/maintenance and the office manager maintains all financial records. Records of meetings sampled confirmed discussions regarding issues/risk, organisational performance, complaints, residents, staffing and health and safety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holds contracts with the Lakes DHB, for rest home and hospital level care, short stay respite care, long term chronic health conditions (LTCHC) and agreement with the ministry of health (MOH) and the accident compensation corporation (ACC) for residential disability services and rehabilitation.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Maximum occupancy is for 34 residents and on the days of this audit there were 34 long term residents. Twenty one residents were assessed as requiring rest home level care and 13 who required hospital level care. The breakdown of residents was as follows: eighteen residents funded under the aged related care contract (ARC) contract (16 rest home level and two hospital). Four residents under the LTCHC contract (one at rest home level and three hospital level care). Six residents were funded under MOH young people with disabilities (YPD), four of whom required hospital level care and two rest home level care. Six residents were funded by ACC (two at rest home level care and four at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CNM and the office manager cover for each other’s absences and the clinical unit coordinator steps up as required. All levels of staff interviewed said this arrangement worked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established quality and risk management system which includes policies and procedures that guide evidence based practice. The policies used are a generic system moderated by an external quality consultant and these cover all necessary aspects of the service and contractual requirements, including reference to the interRAI Long Term Care Facility (LTCF) assessment tool and process.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Review of the business, quality and risk management plan revealed that goals are set and updated annually and signed off when completed. Compliance with these standards, the DHB contract and safe practice is monitored by internal audits and resident and family feedback. Approximately three internal audits are conducted each month. Where these identify areas for improvement, corrective action plans are documented and implemented. Results of audits and monthly analysis of complaints, incidents/accidents and infections are presented monthly at staff meetings. A sample of staff meeting minutes for 2019-2020 confirmed regular discussions and actions to monitor service delivery such as accidents and incidents, infections, restraints and other quality and risk data which highlighted emerging risks or issues.</w:t>
            </w:r>
          </w:p>
          <w:p w:rsidR="00EB7645" w:rsidRPr="00BE00C7" w:rsidP="00BE00C7">
            <w:pPr>
              <w:pStyle w:val="OutcomeDescription"/>
              <w:spacing w:before="120" w:after="120"/>
              <w:rPr>
                <w:rFonts w:cs="Arial"/>
                <w:b w:val="0"/>
                <w:lang w:eastAsia="en-NZ"/>
              </w:rPr>
            </w:pPr>
            <w:r w:rsidRPr="00BE00C7">
              <w:rPr>
                <w:rFonts w:cs="Arial"/>
                <w:b w:val="0"/>
                <w:lang w:eastAsia="en-NZ"/>
              </w:rPr>
              <w:t>There was sufficient evidence in documents, observations and interviews to show that management and staff respond to areas that require improvement by implementing corrective actions as soon as practicable. Other quality improvement matters including review of hazards and health and safety matters are discussed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All quality data such as incidents/accidents and infections are analysed and reported against regularly to identify trends. Annual resident/family satisfaction surveys are conducted and the results from the 2020 survey indicated that residents and their families are happy with the services provided. The residents interviewed said they experienced staff as easy to approach and felt encouraged to provide feedback to the directors or any staff member.</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regularly communicated at meetings, staff handovers and via email to the directors.  A current risk and hazard register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showed these were fully completed, incidents were investigated, action plans developed and actions followed-up in a timely manner.  Adverse event data is collated, analysed and reported to all staff and the directors at regular intervals. This data is graphed and placed on display in common areas for staff and residents.</w:t>
            </w:r>
          </w:p>
          <w:p w:rsidR="00EB7645" w:rsidRPr="00BE00C7" w:rsidP="00BE00C7">
            <w:pPr>
              <w:pStyle w:val="OutcomeDescription"/>
              <w:spacing w:before="120" w:after="120"/>
              <w:rPr>
                <w:rFonts w:cs="Arial"/>
                <w:b w:val="0"/>
                <w:lang w:eastAsia="en-NZ"/>
              </w:rPr>
            </w:pPr>
            <w:r w:rsidRPr="00BE00C7">
              <w:rPr>
                <w:rFonts w:cs="Arial"/>
                <w:b w:val="0"/>
                <w:lang w:eastAsia="en-NZ"/>
              </w:rPr>
              <w:t>The CNM demonstrated a sound knowledge of essential notification reporting requirements.  Records confirmed four notifications had been made to the Ministry of Health and the DHB, since the previous audit. These included a stage three pressure injury in November 2020, an unexpected death in June 2020, missing resident in October 2020 and a self-harm event in November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A sample of staff records confirmed these processes are being consistently implemented and that personnel records are kept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The sample of records confirmed that new staff completed orientation within an acceptable timeframe from commencement of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annually. This includes mandatory training for all staff. Care staff have either completed or commenced a New Zealand Qualification Authority education programme to meet the requirements of the provider’s agreement with the DHB. At the time of audit, all but two of the 18 health care assistants (HCAs) had achieved level three and level four of the national certificate which is an increase in the number of care staff with qualifications.  The provider also hosts an annual conference at their facility for other providers of residential disabilities and rehabilitation. A rating of continuous improvement has been awarded in criterion 1.2.7.5. Five of the nine RNS are trained and maintaining their annual competency requirements to undertake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service adjusts staffing levels to meet the changing needs of residents.  An afterhours on call roster to an RN is in place, with staff reporting that this works well with support available when needed.  Care staff reported there were adequate staff available on each shift to complete the work allocated to them. Activities suitable for the various needs of younger and older residents are provided by a diversional therapist (DT) on the weekend and two activities staff Monday to Friday 9am to 2.30pm.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that staff are attentive and available to support them. Observations, interviews and review of the roster cycle confirmed adequate staff cover has been provided, with staff replaced in any unplanned absence. There were plenty of staff available in the dining room to assist the five residents who required assistance with eating during mealtimes.  At least one staff member on duty has a current first aid certificate and there is 24 hour/seven days a week (24//7) RN coverage. The clinical unit coordinator works Monday to Thursday and one night shift a week. There are two RNs rostered on each morning shift, one works 7am to 3pm and the other 8.30am to 12.30pm to assist with the ACC residents cares. The CNM manager is on site Monday to Friday for normal business hours and available after hours.</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staff are on site seven days a week. A maintenance person and the other facility manager/office administrator are on site Monday to Friday.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Clinical records are managed by electronic and hard copy systems. Electronic records are password protected and can be accessed by registered nurses only. Paper based records are kept in a locked office. All clinical records sampled were legible and included the name and designation of the writer, the residents name and unique identifier number, and met current documentation standards and best practice. Records sampled were integrated and included documentation pertaining to medical and allied health assessments and treatment, and correspondence from other healthcare providers.  Records including archived records are stored securely and are able to be assessed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referral from the local Needs Assessment and Service Coordination (NASC) service and an interRAI assessment is completed for all residents prior to admission. All new residents and their family are provided with an admission pack that details the service provided and the exclusions of the service. Admission agreements were sighted in clinical files sampled. These reflected contractual requirements. Staff interviewed were able to articulate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guide the transfer and discharge process. The electronic clinical record generates a template to be completed by the registered nurse which is printed and accompanies the resident if a transfer to the public hospital occurs. The medication chart and administration record, and other relevant documents also accompany the resident in the national yellow envelope. Family is notified of referrals or transfers initiated. This was confirmed in records sampled. Staff interviewed described the transfer and discharge process, both exit and return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medicine management policy which is current, meets required standards and is suitable for the service. Medication is stored in a locked storeroom, with keypad access, registered nurses are the only staff who have access to the code. Controlled medications are stored in a locked safe, in a locked cupboard in the locked nurse’s office. There is a medication fridge in the nurse’s office that is temperature monitored daily.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 contract with a community pharmacy which supplies all medication, provides education as required, and undertakes six monthly audits of controlled medications.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resident prepacked medication rolls are used. Each resident has two rolls, one regular medication roll, and one for as required (PRN) medication use. Medication rolls are checked on arrival by a registered nurse, and again at the time of administration. This was confirmed during observation of the medication round. The service uses an electronic medication management system that documents the prescription and administration. All resident prescriptions and administration records sighted met legislative and regulatory requirements. The GP confirmed that the medication management system was efficient, with ease of access and managed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receive annual medication competency. This was confirmed in records, and nurses interviewed discussed the content of the training and the medication policy. Unregulated staff do not administer medications.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has a section relating to self-administration. At the time of the audit there was one resident self-administering medication. The resident was interviewed and the file was sampled. The medication was stored safely and the resident had a current competency assessment. All requirements of the policy were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and cooked on site by a cook with the support of a team of kitchen assistants. All staff have suitable training for the role they perform. The menu follows summer and winter patterns and was reviewed by a qualified dietitian in July 2020. Minor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and a dietary profile developed.  The personal food preferences, any special diets, allergies and modified texture requirements are made known to kitchen staff and accommodated in the daily meal plan. There were sufficient supplies of modified crockery and cutlery to assist residents with eating.</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interviews, satisfaction surveys and resident meeting minutes. Residents were seen to be given sufficient time to eat their meal in an unhurried fashion and those requiring assistance had this provided. Meals are served warm in sizeable portions and alternatives were offered as required. The residents’ weights are monitored monthly and supplements are provided to residents with identified weight loss issues. Snacks and drinks are available for residents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and the registration issued by the Rotorua District Council is current until 04 November 2021.  Labels and dates of decanted food stuffs were on all containers. Staff record the temperature of food, fridges and freezers each day. The temperatures recorded were within a safe range.  The kitchen and pantry were clean, tidy and well stocked. Regular cleaning of all kitchen surfaces occurs daily. All kitchen staff have achieved safe food handling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Entry is declined if there are no beds available or if the service is unable to provide the required level of care. This information is provided to the referring agency, and/or the resident and family as appropriate. An enquiry folder is maintained which details information pertaining to enquires, and reasons for non-acceptance at the time of enquiry.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sampled confirmed assessments were completed and documented within the required timeframes. Assessments were completed in a holistic manner that included falls risk, continence, nutritional requirements and pressure area risk. Other assessments were made as required, for example wound assessments. Resident goals were identified and reflected the completed assessments and were resident centred.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Clinical records sampled contained care plans that were developed to reflect the interRAI assessment and had been developed within the past six months. Care plans sampled were resident focused, integrated and contributed to the provision of continuity of care and achieving desired goals. Short term care plans were sighted in the clinical record (refer area requiring improvement in criterion 1.3.8.2). Care plans are completed in collaboration with the resident and the healthcare team. This was confirmed during interview with residents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documented in the short and long-term care plans were appropriate to meet the residents planned goals, and included interventions recommended by the multidisciplinary team. The scope of clinical equipment, medical consumable supplies and incontinence products sighted during the audit was sufficient to meet the needs of the service. The GP is consulted if the resident’s health status changes. This was verified during interview with the GP. All residents have monthly observations and weight documented, with follow up occurring where significant changes have occurred.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programme operates four and a half hours, seven days per week. Three staff members contribute to the programme. One is a trained diversional therapist, one is a diversional therapist in training, and one is a lifestyle partner who has established linkages with the local Maori community. A calendar of activities was displayed in multiple areas of the facility. Weekly outings in the community occur. Residents interviewed participated in these and spoke highly of the activity programme. During the audit residents were seen to be engaged in themed craftwork. Feedback with regard to the programme is received via the monthly residents meeting and incorporated into ongoing planning of the programme as appropriate. A young persons with disability (YPD) specific programme is implemented for this group of residents. A resident who takes part in this programme was interviewed and confirmed it met expectations.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 of the long-term care-plan occurs using a holistic team approach, which includes the resident, the activities team, a registered nurse and a caregiver. Family members are involved and notified of care plan evaluations and updates as desired by the resident. All residents are reviewed by the GP three monthly, or more often if required. This was confirmed in clinical records and during interview with the GP and residents.   An improvement is required with regard to the evaluation of short-term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referral to other health and disability services was sighted in the clinical records. These referrals included medical and non-medical services for example podiatry services, dieticians and speech language therapists. A record of the service provider’s cares and recommendations was sighted in the resident’s clinical record. There was evidence in the record to confirm that the resident was involved in the decision to refer.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There is provision and availability of protective clothing and equipment and staff were observed to be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building warrant of fitness (BWOF) is displayed and expires in May 2021.  Appropriate systems are in place to ensure the residents’ physical environment and facilities are fit for their purpose and maintained.  The testing and tagging of electrical equipment and calibration of bio medical equipment is current as confirmed in documentation sampled, interviews with maintenance personnel and observation of the environment.  Efforts are made to ensure the environment is hazard free, that residents are safe and independence is promoted. External areas are safely maintained and are appropriate to the resident group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numbers of accessible bathrooms and toilets throughout the facility including for staff and visitors. The majority of bedrooms have singe or shared ensuite bathrooms and privacy mechanisms are installed on all doors. Appropriately secured and approved handrails are provided in the toilet/shower areas, and other equipment/accessories are available to promote resident independence.  Wear and tear (from mobility equipment) in the wall and floor surfaces in bathrooms are regularly repaired. All surfaces were intact and able to be cleaned to a safe hygienic standard.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to move around within their bedrooms safely.  All bedrooms provide single accommodation. Rooms were personalised with furnishings, photos and other personal items displayed. There is space to store mobility aids, wheelchairs and mobile hoists. Three of the bedrooms are fitted with ceiling hoists. Residents reported the adequacy of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Bulk laundry is outsourced to a contracted provider and a laundry person is allocated 2.5 hours per day to launder resident’s personal clothing.  Care staff and the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cleaning team have received appropriate training, as confirmed in interview of cleaning staff and training records.  Chemicals were stored in a lockable cupboard and were in appropriately labelled containers.  Evidence was sighted that cleaning and laundry processes are monitored through the internal audit programme and from resident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all staff in their preparation for disasters and describe the procedures to be followed in the event of a fire or other emergency.   The current fire evacuation plan was approved by the New Zealand Fire Service in 2014.  A trial evacuation takes place six-monthly with a copy sent to the New Zealand Fire Service. The most recent being on 03 November 2020.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a maximum of 34 residents. This meets the Ministry of Civil Defence and Emergency Management recommendations for the region.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Potable water is stored (625 litres) on site and battery operated emergency lighting is regularly tested. There is no means for continuous supply of electricity if the main supplies fail. An improvement is required in 1.4.7.4.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A new call bell system was recently installed. Residents said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There have been no security matters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Visual inspection of all residents’ rooms and communal areas confirmed these are heated and ventilated appropriately.  Rooms have natural light and sufficiently sized opening external windows. Heating and air conditioning is provided by electrical heat pumps throughout the home.  Areas were warm and well ventilated throughout the audit and residents and staff confirmed the home is maintained at a comfortable temperature through all seasons.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the 2021 programme was sighted and has been initiated. The programme is suitable for the size and scope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responsible for implementation and monitoring of the programme. Reports are generated monthly which are presented at staff meetings. The reports and analyses are reported to the owners. </w:t>
            </w:r>
          </w:p>
          <w:p w:rsidR="00EB7645" w:rsidRPr="00BE00C7" w:rsidP="00BE00C7">
            <w:pPr>
              <w:pStyle w:val="OutcomeDescription"/>
              <w:spacing w:before="120" w:after="120"/>
              <w:rPr>
                <w:rFonts w:cs="Arial"/>
                <w:b w:val="0"/>
                <w:lang w:eastAsia="en-NZ"/>
              </w:rPr>
            </w:pPr>
            <w:r w:rsidRPr="00BE00C7">
              <w:rPr>
                <w:rFonts w:cs="Arial"/>
                <w:b w:val="0"/>
                <w:lang w:eastAsia="en-NZ"/>
              </w:rPr>
              <w:t>An electronic sign in system is in place at the entry to the building. As part of the sign in each visitor’s temperature is taken and recorded. Visitors are discouraged from visiting when unwell, if they have a temperature, or have recently been overseas.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reflects COVID-19 guidelines and recommendations issued by the Ministry of Health. Policies and procedures are in place to minimise and monitor the outbreak of an infection. The infection control folder contained information to record and monitor a resident who may develop COVID-19 symptoms. Staff interviewed discussed COVID 19 precautions and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infection control committee that is composed of the management group and the registered nurse who implements the programme. The registered nurse is enrolled in a graduate certificate programme in infection control risk management. The service is able to co-opt other experts as required for example a general practitioner, or an infection control clinical nurse specialist from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supported by a suite of policies and procedures that reflect current best practice guidelines. All staff interviewed were able to discuss the policies and procedures and were able to access the documents should they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to staff is delivered via an electronic platform from a recognised health care education provider.  Staff interviewed were able to discuss the education they had participated in, and the principles of infection control. Residents interviewed stated they were reminded about hand hygiene and cough and sneeze and cough etiquette.  In response to COVID 19 the infection prevention and control education programme was moved to an on-line platform, to ensure a relevant programme that is available to all staff. Education records and staff interviews confirmed staff had completed this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records sighted meet all requirements and were appropriate to the size and scope of the service. Monthly infection control reports, which include surveillance results, are discussed at the monthly registered nurse meetings where the report is analysed with discussion on actions that can be taken when trends are identified. The reports are presented to the service directors. There have been no infection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six residents were using restraints and four residents were using enablers. The enablers were the least restrictive and used voluntarily at the residents’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in meeting minutes, resident files and from interview with all levels of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Unit Coordinator who is the restraint coordinator, GP, and CNM are responsible for the approval of the use of restraints and the restraint processes. It was evident from review of group meeting minutes, residents’ files and interviews with the coordinator. There are clear lines of accountability that all restraints have been approved, and the overall use of restraints is being monitored and analysed.  Evidence of family/whānau/enduring power of attorney (EPOA)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restraint coordinator undertakes the initial assessment with other RNs involvement, and input from the resident’s family/whānau/Enduring Power of Attorney (EPOA). The restraint coordinator and RNs interviewed described the documented process.  Residents confirmed their involvement. The GP is involved in the final decision on the safety of the use of restraint. The assessment process identified the underlying cause, history of restraint use, cultural considerations, alternatives and associated risks. The desired outcome was to ensure the resident’s safety and security. Comprehensive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For example,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RN and Health and Safety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understand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RN and Health and Safety meetings.  Residents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The evaluation covers all requirements of the Standard, including future options to eliminate use, the impact and outcomes achieved, if the policy and procedure was followed and documentation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undertakes an annual review of all restraint use which includes all the requirements of this standard. Interview and assessment of the quality review   process confirmed that effectiveness of restraint use, trends in use, staff competency, ongoing education and any incidents related to restraint are considered. Any changes to policies, guidelines, education and processes are implemented if indicated. Individual use of restraint use is reported to the Health and Safety, RN and general staff meetings.  Data sampled, minutes and interviews confirmed that the use of restraint fluctuates according to the needs of the resident group and their levels of dependence.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1"/>
        <w:gridCol w:w="1280"/>
        <w:gridCol w:w="7590"/>
        <w:gridCol w:w="1203"/>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Short term care plans are documented and implemented when a resident’s condition changes. Goal/s and interventions are documented, however not all short-term care plans are evaluated.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short-term care plans are evaluated.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Evaluate all short-term care plans.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1.4.7.4</w:t>
            </w:r>
          </w:p>
          <w:p w:rsidR="00EB7645" w:rsidRPr="00BE00C7" w:rsidP="00BE00C7">
            <w:pPr>
              <w:pStyle w:val="OutcomeDescription"/>
              <w:spacing w:before="120" w:after="120"/>
              <w:rPr>
                <w:rFonts w:cs="Arial"/>
                <w:b w:val="0"/>
                <w:lang w:eastAsia="en-NZ"/>
              </w:rPr>
            </w:pPr>
            <w:r w:rsidRPr="00BE00C7">
              <w:rPr>
                <w:rFonts w:cs="Arial"/>
                <w:b w:val="0"/>
                <w:lang w:eastAsia="en-NZ"/>
              </w:rPr>
              <w:t>Alternative energy and utility sources are available in the event of the main supplies failing.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emergency lighting, sufficient equipment such as torches, batteries transistors adequate stored water and gas barbecue to heat water and cook food, but no ability to maintain electrical medical equipment such as oxygen concentrator in the event of power outage. There were no oxygen concentrators in use on the days of audit.  A quote has been obtained for installation of a generator but this had not been approved or arranged. On the second day of audit agreement was made with a local hire company to prioritise and promise availability of a portable generator when and if needed, hence the low rating.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cannot ensure continuous power in the event of the main supplies failing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lifesaving equipment will continue to run if there is a power outage.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70"/>
        <w:gridCol w:w="1280"/>
        <w:gridCol w:w="6365"/>
        <w:gridCol w:w="50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focused on increasing the level of competency and knowledge within its workforce. At the time of audit 13 of the 18 HCA’s had achieved level four of the national certificate in health and wellbeing and three had achieved level three. This is a significant improvement from 18 months ago. Additionally, the directors and management staff host an annual conference on site for other service providers of residential disability. The 2019 day conference tilled “Patient Centred Approach to Rehabilitation for Traumatic Brain Injury” was attended by 21 delegates from across the region. Last year’s conference could not proceed due to COVID-19 restrictions. This initiative creates a shared learning environment with staff from six other organisations who provide care to disabled people.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with long term disabilities at Makoha and other care facilities are benefited by the increase in skills, competency, knowledge and understanding of staff derived from the provision of specific education targeted at the day to day and rehabilitative needs of people with physical, intellectual and sensory disabilities. The number of staff who have achieved level four qualifications has increased by 50% as sighted in the service review of staff education. Staffs ability to deliver specific care to each individual according to their unique conditions was affirmed in the positive feedback from residents, the GP and physiotherapist.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Rest Homes Limited - Makoha Rest Home</w:t>
    </w:r>
    <w:bookmarkEnd w:id="58"/>
    <w:r>
      <w:rPr>
        <w:rFonts w:cs="Arial"/>
        <w:sz w:val="16"/>
        <w:szCs w:val="20"/>
      </w:rPr>
      <w:tab/>
      <w:t xml:space="preserve">Date of Audit: </w:t>
    </w:r>
    <w:bookmarkStart w:id="59" w:name="AuditStartDate1"/>
    <w:r>
      <w:rPr>
        <w:rFonts w:cs="Arial"/>
        <w:sz w:val="16"/>
        <w:szCs w:val="20"/>
      </w:rPr>
      <w:t>2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