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Colwyn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Colwyn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2021</w:t>
      </w:r>
      <w:bookmarkEnd w:id="7"/>
      <w:r w:rsidRPr="009418D4">
        <w:rPr>
          <w:rFonts w:cs="Arial"/>
        </w:rPr>
        <w:tab/>
        <w:t xml:space="preserve">End date: </w:t>
      </w:r>
      <w:bookmarkStart w:id="8" w:name="AuditEndDate"/>
      <w:r w:rsidR="00A4268A">
        <w:rPr>
          <w:rFonts w:cs="Arial"/>
        </w:rPr>
        <w:t>28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Only two of the four additional beds approved for use by the District Health Board, as per a Ministry of Health reconfiguration letter, have been remodelled. Reconstruction of the rooms for the remaining two has not yet commenced.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Heritage Lifecare Limited - Colwyn House (also known as Colwyn House Lifecare) provides rest home dementia care and specialised hospital dementia care. Up to 71 residents may be cared for in this facility. The service is operated by Heritage Lifecare Limited and managed by a care home manager with support from a clinical services manager and a unit coordinator. Two new rooms have been opened up since the last audit and reconstruction of another two is about to commence. Family/whānau members interviewed are very satisfied with the services being provided and spoke of the caring nature of the staff.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family/whānau, management, staff, contracted allied health providers and a general practitioner.  </w:t>
      </w:r>
    </w:p>
    <w:p w:rsidRPr="00A4268A">
      <w:pPr>
        <w:spacing w:before="240" w:line="276" w:lineRule="auto"/>
        <w:rPr>
          <w:rFonts w:eastAsia="Calibri"/>
        </w:rPr>
      </w:pPr>
      <w:r w:rsidRPr="00A4268A">
        <w:rPr>
          <w:rFonts w:eastAsia="Calibri"/>
        </w:rPr>
        <w:t xml:space="preserve">This audit has resulted in two areas of continuous improvement, one being in relation to communication processes and the other infection control. Six areas for improvements were identified and these relate to internal audits, staff appraisals and four aspects of the restraint standard.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when they are admitted to Heritage Lifecare Limited-Colwyn House.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at Heritage Lifecare Limited-Colwyn House are provided in a manner that respects the choices, personal privacy, independence, individual needs and dignity of residents.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clinical team advise family/whānau members about how to make a complaint at the time of admission and additional information is available at the front entrance.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An organisational business plan includes the scope, goals, values and mission statement of Heritage Lifecare Limited. There is a facility-based business plan that reflects goals and action plans specific to Colwyn House. Quality and risk plans guide implementation of the quality and risk management system. Regular reports on the effectiveness of the services and the levels of achievement of the goals are provided to the governing body. An experienced and suitably qualified person manages the facility.  </w:t>
      </w:r>
    </w:p>
    <w:p w:rsidRPr="00A4268A">
      <w:pPr>
        <w:spacing w:before="240" w:line="276" w:lineRule="auto"/>
        <w:rPr>
          <w:rFonts w:eastAsia="Calibri"/>
        </w:rPr>
      </w:pPr>
      <w:r w:rsidRPr="00A4268A">
        <w:rPr>
          <w:rFonts w:eastAsia="Calibri"/>
        </w:rPr>
        <w:t xml:space="preserve">Internal audits are completed, adverse events are investigated, satisfaction surveys reviewed and infection surveillance and clinical indicators are collected and collated. This quality improvement data is analysed, trends are identified and corrective actions are generally implemented when indicated. Staff are involved in implementation of the quality system and feedback is sought from families. Actual and potential risks, including health and safety risks, are identified and mitigated. The organisation’s policies and procedures are current and reviewed regularly to describe services and monitoring processes. </w:t>
      </w:r>
    </w:p>
    <w:p w:rsidRPr="00A4268A">
      <w:pPr>
        <w:spacing w:before="240" w:line="276" w:lineRule="auto"/>
        <w:rPr>
          <w:rFonts w:eastAsia="Calibri"/>
        </w:rPr>
      </w:pPr>
      <w:r w:rsidRPr="00A4268A">
        <w:rPr>
          <w:rFonts w:eastAsia="Calibri"/>
        </w:rPr>
        <w:t xml:space="preserve">Human resource processes around the appointment, orientation and management of staff are based on current accepted practice. A systematic approach to identify and deliver ongoing training supports safe service delivery. Staffing levels and skill mixes are meeting the needs of residents with replacements found for absences.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electronic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Specialist approval is required prior to entry. When a vacancy occurs, relevant information is provided to the potential resident/family/whānau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four activity coordinators. The programme provides residents with a variety of individual and group activities and maintains their links with the community. A facility van is available for outings, and additional community van is available for outings if needed.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managed according to organisational requirements and sub-contracts. Staff use protective equipment and clothing. Chemicals, soiled linen and equipment are safely stored. Laundry is undertaken onsite and internal audits enable the laundry processes to be evaluated for effectiveness. </w:t>
      </w:r>
    </w:p>
    <w:p w:rsidRPr="00A4268A">
      <w:pPr>
        <w:spacing w:before="240" w:line="276" w:lineRule="auto"/>
        <w:rPr>
          <w:rFonts w:eastAsia="Calibri"/>
        </w:rPr>
      </w:pPr>
      <w:r w:rsidRPr="00A4268A">
        <w:rPr>
          <w:rFonts w:eastAsia="Calibri"/>
        </w:rPr>
        <w:t xml:space="preserve">A current building warrant of fitness is on public display and appropriate equipment and services checks are being completed. Electrical equipment is tested as required, bio-medical equipment is calibrated and hot water temperatures are safe.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evacuation drills. Adequate emergency equipment and supplies are available. A range of security systems are in place and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implements policies and procedures that support the minimisation of restraint. At the time of audit, six restraints are in use. Documentation to enable comprehensive assessments, approvals, monitoring systems and regular reviews is accessible to staff. Staff reported their understanding of restraint processes, especially the need to monitor use of a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officer, aims to prevent, and manage infections. Specialist infection prevention and control advice is accessed from the Hawkes Bay District Health Board.</w:t>
      </w:r>
    </w:p>
    <w:p w:rsidRPr="00A4268A">
      <w:pPr>
        <w:spacing w:before="240" w:line="276" w:lineRule="auto"/>
        <w:rPr>
          <w:rFonts w:eastAsia="Calibri"/>
        </w:rPr>
      </w:pPr>
      <w:r w:rsidRPr="00A4268A">
        <w:rPr>
          <w:rFonts w:eastAsia="Calibri"/>
        </w:rPr>
        <w:t>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9"/>
        <w:gridCol w:w="1280"/>
        <w:gridCol w:w="100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Limited-Colwyn House (Colwyn House) has policies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(EPOA) requirements and processes for residents unable to consent is defined and documented in the resident’s file.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reviewed had EPOAs in place that had been activated as a result of the resident having mental incapacity.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family/whānau/EPOAs are given a copy of the Code, which also includes information on the Advocacy Service. Posters related to the advocacy service were also displayed in the facility. Family/whānau members spoken with were aware of the advocacy service, how to access this and their right to have support persons. A representative from the advocacy service runs the family/whānau meeting every quarter. Any concerns that arise out of that meeting are addressed with the CHM if requested. No meeting minutes are kept for that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family/whānau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families/whānau and friends. Family/whānau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compliments policy and associated forms meet the requirements of Right 10 of the Code. Information on the complaint process is provided to residents and family/whānau on admission. Family/whānau interviewed knew how to do so and informed that raising concerns and receiving feedback has dramatically improved with the change of manager. Copies of compliment and complaint forms, information about advocacy services and a box for compliments, suggestions and complaints was viewed in the reception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16 complaints have been received over the past year, eight of which have been categorised as relating to some form of communication, seven about quality and risk/attention to detail and one around safety concerns. Copies of documentation related to each complaint and the register demonstrated that actions had been taken, through to an agreed resolution and completed within the timeframes.  Action plans show any required follow up and improvements have been made where possible. The care home manager is primarily responsible for complaints management and follow up, although the clinical services manager and/or the unit coordinator will become involved if they relate to clinical issues.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has been received from an external source (Health and Disability Commission - HDC) over the past year and this was closed within one month. The service provider developed their own action plan and some actions of a quality improvement nature are still being worked through internally. Documentation from two other HDC complaints, both from 2019, was viewed and relevant responses have been made. One of these complaints remains open with responses provided as requested. Attention was paid to the following issues raised from these complaints during the audit and included: complaints management, assessments related especially to weight loss, wound care and falls, service delivery for general care, wound and falls management and weight loss management, communication, good practice (staff training), medicine management and the nutritional needs of residents. Specific reviews of these areas during the audit confirmed that the standard and good practices are now being met and maintained and there were no corrective actions identified in these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members of residents when interviewed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family/whānau members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 Security cameras operate in common areas of the facility and signage alerts residents, visitors and staff to them being operational.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residents and six staff who identified as Māori at the time of audit.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 The clinical service at Colwyn House is led by a clinical manager (CM) who is passionate in ensuring the needs of all Māori and other cultures are met by Colwyn House.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and/or their family/whānau members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members of resident when interviewed stated that residents were free from any type of discrimination, harassment or exploitation and felt safe. A general practitioner (GP) also expressed a high degree of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wound care specialist, services for older people, and older persons mental health services and ongoing education of staff. Eighty five percent of care giving staff are in training programmes, with the remaining 15% waiting to enrol in the upcoming programme. Twenty three percent of staff have level four training and 20% have level three.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learning opportunities through on-line learning hubs such as Ko-Awatea.</w:t>
            </w:r>
          </w:p>
          <w:p w:rsidR="00EB7645" w:rsidRPr="00BE00C7" w:rsidP="00BE00C7">
            <w:pPr>
              <w:pStyle w:val="OutcomeDescription"/>
              <w:spacing w:before="120" w:after="120"/>
              <w:rPr>
                <w:rFonts w:cs="Arial"/>
                <w:b w:val="0"/>
                <w:lang w:eastAsia="en-NZ"/>
              </w:rPr>
            </w:pPr>
            <w:r w:rsidRPr="00BE00C7">
              <w:rPr>
                <w:rFonts w:cs="Arial"/>
                <w:b w:val="0"/>
                <w:lang w:eastAsia="en-NZ"/>
              </w:rPr>
              <w:t>Observations of the units on the day, were of three units that were very settled. No evidence of challenging behaviours was sighted. The residents acknowledged and were familiar with the care home manager (CHM) and the CM, who both knew all residents by name.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clinical processes identified that most days at Colwyn House at least an hour was spent by the CM, RN or senior care giver ringing around attempting to cover last minute shift shortages. This had the potential to compromise the delivery of resident care and clinical leadership due to key staff being kept off the floor. An initiative to rectify this is recognised as one of continuous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members of residents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resident/family/whānau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local court or the Hawkes Bay District Health Board (HBDHB). Several residents spoke Te Reo, as did a number of staff.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for 2020 was sighted. Six group overarching goals cover finances, residents and staff satisfaction, the provision of quality clinical care, health and safety and promotion of Heritage Lifecare Limited. An overview of goals for 2020 covers finances, residents, quality/clinical and health and safety, staffing and property and maintenance. Business requirements and measures of success are against each. Colwyn House’s own business plan was viewed and demonstrated how Colwyn’s own goals and action plans had been integrated into the organisation’s template. The template for 2021 has been released and work has commenced on the 2021 business plan for both the organisation and Colwyn House. The care home manager provides quarterly reports on these goals to the support office alongside comprehensive monthly reports and copies of these documents were 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Heritage Lifecare Limited document titled ‘the Heritage Way’ includes the organisation’s vision of being a significant provider of aged care services throughout New Zealand especially in the area of residential care for older people. Its overall mission is: ‘The continued pursuit of excellence in care through monitoring, auditing, actioning and evaluation of service whilst respecting and valuing our residents, families and staff’. Its five underlying values are integrity, respect and value, commitment, effectiveness, and efficiency, which are promoted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been in the role for one year. A curriculum vitae was viewed, which alongside discussion about previous roles in management, leadership and compliance, confirmed the manager holds relevant qualifications. Responsibilities and accountabilities are defined in a job description and individual employment agreement. Although not previously from the aged care sector, the care home manager has developed a good knowledge of this sector, regulatory and reporting requirements.  The care home manager is well supported by a Heritage Lifecare Limited operations manager and is maintaining currency through attendance at in-service sessions when applicable, DHB portfolio manager forums, the Heritage Lifecare Limited regional conference for managers and consultation with other local managers in the aged care sector.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local District Health Board under the Aged Related Residential Care (ARRC) agreement covering dementia rest home level care and hospital specialised services for psychogeriatric care. A respite and day care contract has been signed and although respite services are no longer provided, day care services are still available. The provider has a contract for long term support – chronic health conditions; however, there is not currently any person funded under this contract. None of the managers interviewed were aware of why the certificate states hospital services - medical services; hospital services - geriatric services (excl. psychogeriatric), as these services are not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71 beds currently available within this facility, of which 68 were occupied the night before the audit and there was an admission on day one of the audit. Twenty-six residents were receiving services under the dementia- rest home contract in the Matai wing, 22 in Kowhai wing where psycho-geriatric services are provided and 20 in the quieter Pohutukawa wing where psychogeriatric services are also provided. A Ministry of Health request to check a reconfiguration of four new beds was followed through and it was found that only two of these have been developed to date. Both rooms are in use, one of which has an ensuite attached, and meet the requirements for the dementia services being provided in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carries out all the required duties under delegated authority when the care home manager is absent. If the absence is for an extended period, a temporary manager from Heritage Lifecare Limited may be available, otherwise the operations manager, or one of the team from support office will assist or advise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During absences of the clinical services manager, the unit coordinator is able to take responsibility for any clinical issues that may arise. Additional support is available from a range of sources including a gerontology nurse specialist, a local nurse practitioner, the GP, other registered nurses within the team at Colwyn House and registered nurses from other Heritage Lifecare facilities. Staff informed they are very satisfied with the level of support currently available across all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Key elements of the quality program at the organisational level are the policies and procedures, the internal audit schedule and associated audit tools, care home health checks, education plans, quality alerts, clinical advisory group, benchmarking and key performance indicators, satisfaction surveys and external audits. At the care home level, the key elements are annual quality goals, internal audits, corrective action plans, quality action forms, incident reporting system, satisfaction surveys, education plans, quality meetings and complaints and compliments. </w:t>
            </w:r>
          </w:p>
          <w:p w:rsidR="00EB7645" w:rsidRPr="00BE00C7" w:rsidP="00BE00C7">
            <w:pPr>
              <w:pStyle w:val="OutcomeDescription"/>
              <w:spacing w:before="120" w:after="120"/>
              <w:rPr>
                <w:rFonts w:cs="Arial"/>
                <w:b w:val="0"/>
                <w:lang w:eastAsia="en-NZ"/>
              </w:rPr>
            </w:pPr>
            <w:r w:rsidRPr="00BE00C7">
              <w:rPr>
                <w:rFonts w:cs="Arial"/>
                <w:b w:val="0"/>
                <w:lang w:eastAsia="en-NZ"/>
              </w:rPr>
              <w:t>A template for recording quality meeting minutes covers each of the above-mentioned aspects and minutes from the monthly quality and risk meetings at Colwyn House are being entered into these accordingly. Meeting minutes confirmed that identified key clinical indicators are also being analysed, reported against and presented to the registered nurse meetings and to the quality team each month. Reports from household staff, laundry, maintenance and the kitchen are presented at each quality meeting. A risk and corrective action plan developed by the local District Health Board following an earlier complaint and follow-up visit has since been closed, December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meeting schedule for various staffing groups has been developed and these meetings are enabling information from quality team meetings to filter through the various departments of the facility. Meeting minutes are available for people who were unable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attending meetings, reporting areas of concerns to the relevant manager, completing the different forms and records they are asked for and attending training. A workshop in a staff roadshow facilitated by support office, focused on staff values in the workplace. The care home manager informed that staff are reminded of these at times of stress to try and keep staff morale high and maintain high levels of care.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in the review of the organisation’s systems; however, a corrective action has been raised as not all of these are being followed up and resolved. A satisfaction survey was sent to residents’ relatives mid-2020 with most feedback being positive. Some suggestions in the comments section have been extracted for action and include ensuring there is adequate handover between staff when shifts change, increasing the number of activities available, concern over shrunken woollens and ramps to the outside where there is a ridge. The care home manager has a good understanding of quality improvement projects and examples of these were provided during the audit. In addition to the two identified in the reports as examples of continuous improvement, planning is underway to address the suggestion of ramps at sliding doors and the one for additional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These are based on best practice and although there are ongoing reviews of the organisation’s policy documents a number fall due for review in March 2021.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system describes the meaning of risk, includes a risk matrix/likelihood table and a consequence table. Organisational and workplace risks are measured using severity assessment codes (SAC) ratings of one through to four using the headings workforce, systems and processes, financial and environmental. The processes for the identification, monitoring, review and reporting of organisational risks and development of mitigation strategies are led by staff in the support office. All risk reporting comes through quality and risk management reporting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health and safety system is implemented. Three staff have undertaken Worksafe health and safety training and are familiar with the Health and Safety at Work Act (2015). Requirements are being implemented and the care home manager advised additional on-line training is being planned for three key staff. An overarching hazard register is available and is accompanied by one that is specific to Colwyn House. Updates are being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either in hard copy or electronically. A sample of incidents forms reviewed showed these were fully completed, incidents were investigated, action plans developed and actions followed-up in a timely manner. Adverse event data is collated, analysed and reported through monthly quality and risk meetings and then departmental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described essential notification reporting requirements, including for pressure injuries and one of these was completed in consultation with the operations manager on the day of audit. Documentation confirming other instances when notifications of significant events had been made to the Ministry of Health was sighted. Support office staff are involved when a notification is filed. There have been no other types of notifications to authorities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an application process, initial interview, referee checks, police vetting and validation of qualifications and practising certificates (APCs) where required. A sample of staff records reviewed confirmed the organisation’s policies are being consistently implemented and records are maintained. This includes records of annual practising certificates for all health professionals involved with residents from Colwyn House.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During interviews, staff stated orientation had previously been a bit and miss and are pleased the process has been reviewed and additional time is offered when considered necessary or when requested by the new staff person. Staff records reviewed show documentation of completed orientation, even in historical records from the previous provider.   </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education programme includes mandatory training requirements. Continuing education is planned on an annual basis and the calendar includes mandatory training requirements. Spreadsheets confirm that all required registered nurse competencies are up to date. Records reviewed informed there are sufficient trained and competent registered nurses who are maintaining their annual competency requirements to undertake interRAI assessments.  A planned approach has been implemented to ensure caregivers commence or make progress along the path of a New Zealand Qualification Authority education programme to meet the requirements of the provider’s agreement with the DHB. More than 80% of staff have either completed or are enrolled in the required dementia care education. Efforts have been made to update staff who have not completed this requirement; however a manager described how these have been compromised by some staff lacking the necessary literacy skills and by Covid-19, as there have been less places available on training courses amidst higher than usual demands. There are sufficient casual staff to relieve those needing to complete training requirements and the presence of an internal assessor on-site is facilitating the process. Bureau staff are used as a last resort, but the care home manager informed this was an option to ensure registered nurse competencies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Annual performance appraisals are a strategy used to ensure safe and effective services are being provided to consumers. Not all staff have undergone a performance appraisal within the last year, as per good practice and as required by the organisation’s policies. This has been raised for corrective 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levels and skill mix policy and procedure and an accompanying rostering policy describe processes for determining staffing levels and skill mixes to provide safe service delivery, 24 hours a day, seven days a week (24/7). Rostering records and staff and management interviews confirmed that these policies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noted there has not been any need for significant changes in in staff numbers on the roster as when a person has needed additional attention then they have received this as not all beds were occupied. An afterhours on call roster is in place, with staff having access to both clinical and non-clinical expertise for advice and decision-making. Care staff reported they have access to additional advice and support when required and informed there were adequate staff available to complete the work allocated to them. Most family/whānau members interviewed supported this with two wondering if there were time when more would be helpful, especially for activities. Observations and review of a four-week roster cycle confirmed adequate staff cover has been provided, with staff replaced in any unplanned absence, or alterations to the length of shifts made to maintain cover. All registered nurses, activities staff, the van driver, a cook, a cleaner and more than half of the caregivers have a current first aid certificate, therefore there is always at least one staff member on duty who has a current first aid certificate. There is 24/7 registered nurse cover in the hospital specialised services psychogeriatric care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are all electronic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Hard copy archived records are held securely on site and are readily retrievable using a cataloguing system. All records since two years ago are electronic.</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Colwyn House when their required level of care has been assessed and confirmed as being required by the local Needs Assessment and Service Coordination (NASC) Service and authorised by a medical specialist. Prospective residents and/or their families / whānau are encouraged to visit the facility prior to admission and meet with the CHM and the CM. Residents’ family/whānau or EPOAs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Family/whānau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HBDHB ‘yellow envelope’ system to facilitate transfer of residents to and from acute care services. There is open communication between all services and the resident’s family/whānau. At the time of transition between services, appropriate information, including medication records and the care plan is provided for the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Interviews with the RNs verified any ambiguity around prescriptions would be followed up with the GP or CM. A previous concern around the prescribing of nutritional supplements and dosage, has been addressed by the GPs. Clear guidelines around the preparation of nutritional supplements are posted in all three medication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self-administer medications at Colwyn House.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Colwyn House.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people.The menu follows summer and winter patterns and has been reviewed by a qualified dietitian on 15 January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up-to-date food control plan is in place at Colwyn House, issued 9 December 2020 by Hastings District Council, and due to expire 9 December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 kitchen in Colwyn is off the secure rest home dining room. Residents can observe the cook preparing the meals, with the cooking odours wafting through the unit. Food is transported in heated bains-marie to the other two units. Both other units have kitchenettes. Food items are accessible to the residents anytime night and day. The main kitchen has food supplies that are accessible to staff if needed. Residents who wander and at times do not want to sit for meals, have their meals on the move. One resident with a walker and a tray on the front, wheels the meal around while eating. An interview with one family/whānau member, identified a concern around the size of the meal perhaps not being big enough. Records of weight verified the resident’s weight was stable, however care staff will now serve up bigger meals. Second helpings are always offered, and the cook verified there was no shortage of food supplies.</w:t>
              <w:br/>
              <w:br/>
              <w:t>Evidence of resident satisfaction with meals is verified by interviews with resident’s family/whānau members, satisfaction surveys and family/whānau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family/whānau are supported to find an appropriate care alternative. If the needs of a resident change and they are no longer suitable for the services offered, a referral for reassessment to the NASC is made and a new placement found, in consultation with the resident and family/whānau.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Colwyn House are assessed using a range nursing assessment tools such as pain scale, falls risk, skin integrity, nutritional screening, behaviours,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 Reassessment is sighted frequently regarding residents’ behaviour management plans, medication and nutritional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Interviews, documentation, and observation verifies the RNs are familiar with requirement for reassessment of a resident using the interRAI assessment tool when a resident has increasing or changing need levels. This was evidenced in notes reviewed in the tracer of the rest home resident.  </w:t>
              <w:br/>
              <w:br/>
              <w:t>All residents have current interRAI assessments completed by seven of eight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 Residents’ files include behaviour management plans, triggers and interventions for behaviour. Comprehensive planning is sighted regarding managing the triggers that are precursors to residents’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 medical and allied health professional’s notations clearly written, informative and relevant. Any change in care required was documented and verbally passed on to relevant staff. Residents and families/ whānau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at Colwyn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 Interventions are individualised and diverse to meet the range of needs the residents at Colwyn have. The manner of the nurse’s response is consistent with that identified by the resident’s previous lifestyle experiences. Interventions are often at a time that meets the residents need, not the routine of a facility. Staff are flexible in adapting to the regime the resident chooses that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Colwyn is provided by a trained diversional therapist and four activities co-ordinators (one who is part time). The programme operates seven days a week, until 6.00pm in the secure hospital units, and five days a week until 4.30pm in the rest home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 24-hour approach to an activity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 exercise sessions, van outings, entertainment, travel memories, quizzes, music and sing-a-longs, happy hour - bosses shout, games, gardening, baking, poetry and reminiscing sessions. Every fortnight there is a men’s group that is run by male staff. All the units come together and do fix it type jobs, fixing a toaster or pulling things apart and talking male chat. A women’s group meets fortnightly and do beautician sessions, baking, sewing etc. The activities programme is discussed at the monthly family/whānau meetings. Minutes indicate family/whānau members input is sought and responded to. The family/whānau meetings are run by the CHM and CM though every third meeting is run by the advocate from the advocacy service. This enables family’s free time to discuss freely any concerns. Resident and family/whānau satisfaction surveys demonstrate. Interviews with eight family/whānau members confirmed they find the programme meets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CM and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for example; medication review for behavioural concerns, nutritional review for weight loss, medication reviews following an increase in falls, increased sleepiness. Short-term care plans are consistently reviewed for infections, pain and weight loss and progress evaluated as clinically indicated.  Wound management plans were evaluated each time the dressing was changed, Behaviour management plans are reviewed after any outburst or challenging event. Family/whānau members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CM sends a referral to seek specialist input. Interview with the GP verifies access to afterhours medical services. The CM verifies the community team from Mental Health Services for older people (MHSOP), are responsive to requests for assistance. This was further acknowledged at interview with a visiting occupational therapist from MHSOP. Copies of referrals were sighted in residents’ files, including to older persons’ mental health services. Referrals are followed up on a regular basis by the CM or the GP. The resident’s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infectious and hazardous substances guide staff actions. Contractors supply skips for general waste, green waste and recyclable cardboard, which are removed twice a week. Recyclables of paper, glass and plastics are placed in bins collected by the local council each week. A separate company removes medical waste and sharps as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Bulk chemicals are stored in a dedicated chemical storage area in one wing with appropriate signage displayed. Material safety data sheets were viewed where chemicals are stored.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are available and staff described when and why they use it. Staff were also observed using these items.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28 February 2021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maintenance person uses a series of primarily electronic systems, which demonstrate any necessary repairs are undertaken in a timely manner and the tasks on organisation’s annual maintenance schedule are completed within the required timeframes. Testing and tagging of electrical equipment and calibration of bio medical equipment including resident weighing scales, thermometers and sphygmomanometers for example are current as confirmed in documentation reviewed, interviews with maintenance personnel and observation of the environment. Records sighted confirmed that hot water temperatures are checked from a sample of different outlets each month and temperatures are safe, or action is taken.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were safely maintained and appropriate to the resident groups and setting. There were a number of external courtyards and gardens off each wing, which were tidy and provided areas of interest for residents to move around 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For the 20 rooms in the Pohutukawa wing, there are three ensuites with a toilet and a shower, three shared toilets and showers and one single toilet for residents’ use. In the 26 bed Matai wing, there is an ensuite in the new room, two single toilets and four shared bathrooms with a toilet and a shower in each. The 25 bed Kowhai wing has two shared toilets and three shared bathrooms, which have a toilet and a shower in each.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including shower chairs and a hydraulic bathing trolley for example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provide single accommodation. Each room is sufficiently large enough for residents and staff to move around them easily and safely. Rooms are personalised at different levels depending on the occupant. Decorative furnishings and personal items are displayed. Personal identifications on doors were evident to assist residents to identify their room, and in one wing doorframes and bedroom doors were painted different colours to assist this.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room for the use and storage of mobility aids and wheelchairs as required. Staff and family/whānau members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range of communal areas are available for residents to engage in activities. There is a dining and lounge area in each of the three wings. All are spacious and enable easy access for residents and staff. Residents can move around freely and access various smaller areas for privacy, such as a small, quieter television lounge in Matai. Additional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in a purpose-built on-site laundry. The key laundry staff person demonstrated a sound knowledge of the laundry processes, dirty/clean flow and handling of soiled linen. Instructions for laundry processes are available. According to survey results, family/whānau are satisfied with laundry processes overall. </w:t>
            </w:r>
          </w:p>
          <w:p w:rsidR="00EB7645" w:rsidRPr="00BE00C7" w:rsidP="00BE00C7">
            <w:pPr>
              <w:pStyle w:val="OutcomeDescription"/>
              <w:spacing w:before="120" w:after="120"/>
              <w:rPr>
                <w:rFonts w:cs="Arial"/>
                <w:b w:val="0"/>
                <w:lang w:eastAsia="en-NZ"/>
              </w:rPr>
            </w:pPr>
            <w:r w:rsidRPr="00BE00C7">
              <w:rPr>
                <w:rFonts w:cs="Arial"/>
                <w:b w:val="0"/>
                <w:lang w:eastAsia="en-NZ"/>
              </w:rPr>
              <w:t>Staff involved in cleaning duties receive appropriate training in both cleaning techniques and use of chemicals. Cleaning products currently in use were labelled and stored in a box on cleaners’ trollies, which are stored in locked cupboards when not in use. An external company is contracted to manage the supply of cleaning chemicals and provides staff with access to on-line training on chemical safety. One of the longer-term cleaning staff assists new staff to upskill.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service provider’s internal audit programme. The laundry and cleaning staff reported they see the audits as ways of improving their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17 March 2015. A trial evacuation takes place six-monthly with a copy sent to the New Zealand Fire Service, the most recent being on 1 July 2020 and the next due February 2021. The orientation programme includes fire, emergency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three to four day’s supply of food at all times, extra blankets, plastic bins with civil defence supplies checked against a list six monthly and gas BBQ’s were sighted. These are sufficient for the requirements for full occupancy of 71 beds and staff on duty and meet the Ministry of Civil Defence and Emergency Management recommendations for the region. Water storage tanks are located in the attic areas of the buildings.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The care home manager reported monitoring of call bells and there was no evidence of family/whānau members reporting any delays in call bell responses. There are plans to update the call bell system to a more modern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Double locked gates are on both sides of the property and all windows have security latches in situ. Swipe cards are in use for most doors and where there are door codes these are only known by staff. Doors and windows are locked at a predetermined time and a security check is completed by staff at the evening to night staff shift change. Security cameras have been installed and appropriate signage is on display.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from external windows, which are split horizontally and open forward to prevent anyone trying to get out, while at the same time enabling ventilation. A small number of bedroom doors open onto enclosed outside garden or small patio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heat pump air conditioning system has been installed in the newest wing and each bedroom has its own vent which can be independently adjusted. Heat pumps are in the lounges and dining areas of each wing and in the two new bedrooms. Gas is used for heating the bedrooms in the two older wings, although this ducted and vented heating system is nearing the end of its life and there are plans in place to replace this with air conditioning units.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audit, windows and some doors were open and there was good ventilation occurring as the wings without air conditioning were very warm. The manager was observed to alter the temperature of one area when a resident complained they were too warm.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CM is the designated infection control nurse officer, whose role and responsibilities are defined in a job description. Infection control matters, including surveillance results, are reported monthly to the CM, and tabled at the quality/risk meeting, staff and RN meetings.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An initiative to manage the potential spread of Covid-19 within Colwyn House, is recognised as an area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(ICO) has appropriate skills, knowledge, and qualifications for the role. The ICO has undertaken training in infection prevention and control and attended relevant study days, as verified in training records sighted. Well-established local networks with the infection control team at the DHB are available and expert advice from the organisations quality and risk team is available if additional support/information is required. The officer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CM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ICO.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scabies outbreak.</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and their families is generally on a one-to-one basis and has included reminders about handwashing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Colwyn House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recorded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CM reviews all reported infections. Monthly surveillance data is collated and analysed to identify any trends, possible causative factors and required actions. Results of the surveillance programme are shared with staff via quality, RN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norovirus outbreaks at Colwyn House in the past year. There was a scabies outbreak in October 2020 and a recent respiratory infection outbreak, whereby residents were tested for Covid-19 and the facility went into lockdown. The HBDHB and public health were involved. Evidence is sighted of monitoring, and the cleaning regime introduced to manage the risk. Swabs identified rhinovirus, with possible community connection.</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Colwyn House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was aware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six residents were using restraints, one of whom was using two types. All were bed rails when the person is in bed or chair briefs.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reported by management and staff during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registered nurses, are responsible for the approval of the use of restraints and the restraint processes. Although monthly registered nurse meeting minutes in relation to restraint were scant, it was evident from separate interviews with the restraint coordinator, two other registered nurses and the clinical services manager that conversations are extensive. Documentation in the residents’ files confirmed all restraints in use had also been approved for use in a dementia service by the attending GP.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requires that an assessment of a resident’s use of a restraint is completed and a record is retained within the resident’s personal file. There is a lack of consistency in the level of restraint assessment documentation, including family/whānau/EPOA and the assessments not meeting the requirements of the standard. Registered nurse meetings operate as a replacement for a restraint approval group and restraint is a topic on the agenda for each meeting; however, this is not documented at the level expected. These issues have resulted in a corrective action being raised.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Efforts are being made to reduce the use of restraints with one restraint having been discontinued as recently as earlier in the month of the audit. Although no records could support it (refer 2.2.2.1), the restraint coordinator described how alternatives to restraints are discussed at registered nurse meetings, and with family/whānau.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related to restraint use and monitoring processes do not meet the requirements of the standard and these factors have been raised for corrective action. Staff interviewed confirmed all restraint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the date it was first approved, the method of restraint, date of last review, date of next review and funding. There is sufficient information to provide an auditable record of restraint use.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Those interviewed understood that the use of restraint is to be minimised.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of people who use a restraint showed that the individual use of restraints is reviewed during care plan and interRAI reassessments at six-monthly intervals. The restraint coordinator and the clinical services manager and two registered nurses stated these occur and are discussed at monthly registered nurse meetings, although there was limited evidence to confirm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the documentation of evaluations of restraint use do not cover all requirements of the Standard, a corrective action has been raised.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use of restraint use is reported to the quality and risk meetings and the numbers and type of restraint use are reported through the monthly reports to the operations manager. Minutes of registered nurse meetings reviewed lacked sufficient detail to confirm any analysis or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family/whānau. A corrective action has been raised to rectify these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six-monthly internal audit is carried out and reported to the quality and risk meetings. There have not been any reported changes to policies, guidelines, education and processes; although one person has had their restraint discontinued and one other was reported to have reduced frequency of implementation.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02"/>
        <w:gridCol w:w="1280"/>
        <w:gridCol w:w="4074"/>
        <w:gridCol w:w="1656"/>
        <w:gridCol w:w="21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quality and risk management plan describes a range of processes that measure achievement against the quality and risk related goals. One of these measures is the internal audit system, which monitors many aspects of service delivery, the environment and human resources for example. Although a monthly schedule of the audits over a twelve-month timeframe is available, not all of these have been completed as required. Corrective actions have been identified in examples of completed internal audits; however, quality and risk meeting minutes demonstrated that there was a lack of consistency in the follow-up of these corrective actions. There was a disconnect between the transfer of information from the record of the audit to the quality and risk reports and in some instances they were transferred but not followed up the following month, which meant they then became lost to the system.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occurring as a measure of achievement against the quality plan; however, these are not being completed according to the organisation’s current schedule. Also, corrective action processes for any shortfalls in internal audits are not always being completed in a timely manner due to breakdowns in the transfers of information.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undertaken according to the developed schedule. Associated corrective actions are completed and reported through the quality and risk management system to demonstrate achievement.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staff performance appraisals are a method of ensuring safe and effective services are provided to residents. A sample of ten staff human resources files were reviewed during the audit. For 80% of these, there was no record of the staff persons having completed a performance appraisal in the past year. One manager confirmed they were aware that not all of the non-clinical staff had had an appraisal update during the past year. The master list of due dates for performance appraisals of clinical staff was provided and one of the management team informed they understood these had been completed. A corrective action has been raised as the dates of these appraisals had not been entered into the master record, copies of the appraisals were not evident in staff files and it was confirmed that those of non-clinical staff were not all up to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staff performance appraisals have been completed over the past 12 months as required by human resource policies.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Each staff person has completed a performance appraisal with a manager within the previous twelve months.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within residents’ files when applicable, although these were difficult to find as some were in hard copy and some in their electronic record. There was also evidence of confusion between documentation related to restraint approval processes and that of restraint assessment processes. Information in the documented assessments for the use of restraint were limited and did not clearly reflect the requirements in (a) to (h) of the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undertakes the initial assessment. The general practitioner is involved in the final decision on the safety of the use of the restraint, although this record was not found in two residents’ files reviewed. There is some evidence of input from the resident’s family/whānau/EPOA, although this was not consistently recorded clearly. Restraint approval group group/registered nurse meeting minutes did not describe when a new assessment had been completed. As the assessment processes is integral to ongoing use of restraints and so many aspects of this lacked consistency, a moderate risk has been allocated.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clients using restraints have not covered the requirements of the standard and approval and assessment processes not well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clients using a restraint cover (a) to (h) of the standard and are fully documented within the resident’s files and within registered nurse/restraint approval meetings minutes.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restraint related documentation lacks detail regarding the use of restraint, duration, outcome and details listed in (a) to (g) in criterion 2.2.3.4. When restraints are in use, frequent monitoring is expected to occur to ensure the resident remains safe. However, records of restraint monitoring lack the necessary details and the times of restraint use are not consistent with those that are available in assessment records.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lack of clarity in the residents’ documentation about the detail regarding the use of restraint, duration, outcome and details listed in (a) to (g) in the standard. Records of restraint monitoring lack the necessary details and the times of restraint use are not consistent with those that are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and monitoring records are documented in sufficient detail to provide an accurate account of the indication for use, intervention, duration, its outcome, and shall include but is not limited to requirements as listed in (a) to (g) of this standard.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2.2.4.1</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in collaboration with the consumer and shall consider:</w:t>
              <w:br/>
              <w:t>(a) Future options to avoid the use of restraint;</w:t>
              <w:br/>
              <w:t>(b) Whether the consumer's service delivery plan (or crisis plan) was followed;</w:t>
              <w:br/>
              <w:t>(c) Any review or modification required to the consumer's service delivery plan (or crisis plan);</w:t>
              <w:br/>
              <w:t>(d) Whether the desired outcome was achieved;</w:t>
              <w:br/>
              <w:t>(e) Whether the restraint was the least restrictive option to achieve the desired outcome;</w:t>
              <w:br/>
              <w:t>(f) The duration of the restraint episode and whether this was for the least amount of time required;</w:t>
              <w:br/>
              <w:t>(g) The impact the restraint had on the consumer;</w:t>
              <w:br/>
              <w:t>(h) Whether appropriate advocacy/support was provided or facilitated;</w:t>
              <w:br/>
              <w:t>(i) Whether the observations and monitoring were adequate and maintained the safety of the consumer;</w:t>
              <w:br/>
              <w:t>(j) Whether the service's policies and procedures were followed;</w:t>
              <w:br/>
              <w:t>(k) Any suggested changes or additions required to the restraint education for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Reports provided confirmed restraints are being reviewed as review dates were documented in the residents’ files and in the restraint register, all of which had been completed within the past six months. There was minimal evidence of collaboration with family/whānau/EPOA and the residents’ GPs and some files stated a review had occurred; however, there was not always a signature to verify this despite it being many months previously.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of the reviews of restraint use were scant and did not demonstrate there had been a full evaluation process of its use. There was insufficient evidence that options to eliminate use had been discussed, of the impact and outcomes of the restraint, whether the policy and procedures were followed and if the documentation had been completed as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Dates of the last review of restraint use are recorded, however, records are sparse and do not adequately inform whether required processes are followed and associated risks are mitigated.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each restraint is evaluated in collaboration with the resident’s family/whānau/EPOA and their GP according to (a) to (k) of the standard.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reported through the quality and risk system and to governance. Registered nurse meetings are used as a platform for review of all restraint use. Although meeting minutes include restraint as a topic discussed, the information recorded does not cover the details as listed in (a) to (h) and do not demonstrate regular comprehensive reviews are undertaken.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monitoring and quality review processes are not currently meeting the requirements of the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Comprehensive reviews of all restraint use are undertaken regularly and cover the requirements of (a) to (h) in this standard.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9666"/>
        <w:gridCol w:w="16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clinical processes identified that most days at Colwyn House at least an hour is spent by the CM, RN or senior care giver ringing around attempting to cover last minute shift shortages. This had the potential to compromise the delivery of resident care and clinical leadership due to key personnel being kept off the floor. An investigation was undertaken by management to find options available that would enable Colwyn staff to fill rostered vacancies quickly. An electronic telecommunications system was identified and implemented as a trial. Four staff groups have been set up comprised of RNs, caregivers, casual caregivers, and support staff. When someone is unable to come to work, the person contacts the CHM, CM or RN, who sends an email that delivers as a text message to the appropriate group, advising them of the need. </w:t>
              <w:br/>
              <w:t>Evidence is sighted of a response within two minutes, and 95% of requests addressed with the shift being covered. Service delivery time on the floor has improved, due to key staff time being required to be on the phone. Staff members are also available for work more quickly.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initiative to reduce the time spent on the phone by the CHM, CM and RN covering last minute shift changes has resulted in less time being spent doing this, enabling more time to be spent on the floor delivering and overseeing resident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3.1.9</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and/or consumers and visitors suffering from, or exposed to and susceptible to, infectious diseases should be prevented from exposing others while infectious.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outbreak it was recognised that resident safety could be compromised if there was an outbreak. The configuration of Colwyn House, the complexities of the residents and their associated disorders meant Colwyn House would be unable to contain residents in a safe manner. Management suggested a solution to contain a small section of the facility by sectioning off a part of the unit using portable walls that would not impact on fire safety regulations. An upholsterer was contacted with the idea. Vinyl and plastic walls were constructed, which had extendable steel poles, fitting from floor to ceiling. The walls had a wall and zipper in them, which allowed access. The walls were put in place when staff were requested to accept two residents from a facility that had had an outbreak of Covid-19 but were deemed clear. Colwyn House was required to isolate those residents for two weeks. The two residents were accommodated in an area with three bedrooms and a bathroom. The third bedroom was used as a lounge. This area was sectioned off. Staff worked 12 hour shifts in this area, entering and leaving the unit by an external door. The walls were successful in managing the isolation requirements of residents. The HBDHB infection control team visited and saw the idea and have contacted the manufacturer to make their own set. The walls can be put up and taken down if required to be used for any outbreak.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Colwyn House implemented a process to be able to contain the residents in a secure unit in a secure and safe manner, while keeping other residents safe, during Covid-19 and subsequent outbreaks.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Colwyn House</w:t>
    </w:r>
    <w:bookmarkEnd w:id="58"/>
    <w:r>
      <w:rPr>
        <w:rFonts w:cs="Arial"/>
        <w:sz w:val="16"/>
        <w:szCs w:val="20"/>
      </w:rPr>
      <w:tab/>
      <w:t xml:space="preserve">Date of Audit: </w:t>
    </w:r>
    <w:bookmarkStart w:id="59" w:name="AuditStartDate1"/>
    <w:r>
      <w:rPr>
        <w:rFonts w:cs="Arial"/>
        <w:sz w:val="16"/>
        <w:szCs w:val="20"/>
      </w:rPr>
      <w:t>27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