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Hodgson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Hodgson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January 2021</w:t>
      </w:r>
      <w:bookmarkEnd w:id="7"/>
      <w:r w:rsidRPr="009418D4">
        <w:rPr>
          <w:rFonts w:cs="Arial"/>
        </w:rPr>
        <w:tab/>
        <w:t xml:space="preserve">End date: </w:t>
      </w:r>
      <w:bookmarkStart w:id="8" w:name="AuditEndDate"/>
      <w:r w:rsidR="00A4268A">
        <w:rPr>
          <w:rFonts w:cs="Arial"/>
        </w:rPr>
        <w:t>22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Hodgson House provides rest home and hospital level care for up to 65 residents. The service is operated by Heritage Lifecare Limited (HLL) and managed by a care home and village manager and a clinical services manager. There have been no significant changes to the service and facilities since the previous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including a regional quality manager and a general practitioner (GP). All the interviewees spoke positively about the care provided.</w:t>
      </w:r>
    </w:p>
    <w:p w:rsidRPr="00A4268A">
      <w:pPr>
        <w:spacing w:before="240" w:line="276" w:lineRule="auto"/>
        <w:rPr>
          <w:rFonts w:eastAsia="Calibri"/>
        </w:rPr>
      </w:pPr>
      <w:r w:rsidRPr="00A4268A">
        <w:rPr>
          <w:rFonts w:eastAsia="Calibri"/>
        </w:rPr>
        <w:t xml:space="preserve">There was one area identified as requiring improvement during this audit related to the timeframes for interRAI reassessments and updating of the resident care plans.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 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being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service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Consumer records are integrated and securely maintained. Archived records are safely stored for easy retrieval.</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Needs Assessment Service Coordination (NASC) team assess residents prior to entry to confirm their level of care. Assessments and care plans are completed and evaluated by the nursing staff.</w:t>
      </w:r>
    </w:p>
    <w:p w:rsidRPr="00A4268A" w:rsidP="00621629">
      <w:pPr>
        <w:spacing w:before="240" w:line="276" w:lineRule="auto"/>
        <w:rPr>
          <w:rFonts w:eastAsia="Calibri"/>
        </w:rPr>
      </w:pPr>
      <w:r w:rsidRPr="00A4268A">
        <w:rPr>
          <w:rFonts w:eastAsia="Calibri"/>
        </w:rPr>
        <w:t>Activities plans are completed by the activity coordinators. Planned activities are appropriate to the residents’ assessed needs and abilities. In interviews,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Medications are monitored and reviewed as required by the general practitioner (GP) and nurse practitioner (NP).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system status report in lieu of the building warrant of fitness for this coming year which was reviewed and is displayed.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restraints were in use at the time of audit.  A comprehensive assessment, approval and monitoring process with regular reviews occurs. There were two enablers being used.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8"/>
        <w:gridCol w:w="1280"/>
        <w:gridCol w:w="96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sampled showed that informed consent has been gained appropriately using the organisation’s standard consent form. These are signed by the enduring power of attorney (EPOA) or residents and the general practitioner makes a clinically based decision on resuscitation authorisation if required. Staff were observed to gain consent for daily cares.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 whānau are given a copy of the Code, which includes information on advocacy services. Posters and brochures related to the national advocacy service were displayed and available in the facility. Family members and residents interviewed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family/whānau and the community by attending a variety of organised outings, visits, shopping trips, activities, and entertainment. The facility has unrestricted visiting hours and encourages visits from residents’ family/whānau and friends. Family/whānau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associated forms meet the requirements of Right 10 of the Code. Information on the complaint/compliments process is provided to residents and families/ whānau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were received over the past year and that actions were taken, through to an agreed resolution, are documented and completed within the timeframes. Action plans showed any required follow up and improvements have been made where possible. The care home and village manager (CH&amp;VM) is responsible for complaints management and follow up. Both hard copy and electronic records are maintained. All staff interviewed confirmed a sound understanding of the complaint/compliment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are no complaints being investigated by the Office of the Health and Disability Commissioner (HDC) or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consumer rights legislation, advocacy services and the complaints process are provided on admission and displayed at the reception. The Code is available in Māori and English. Family/ whānau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 or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with residents assessed as rest home and hospital level of care,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clinical services manager (CSM) reported that any allegations of neglect if reported would be taken seriously and immediately followed up. There were no documented incidents of abuse or neglect in the records sampled. The GP reiterated that there was no evidence of any abuse or neglect reported. Family/ 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Māori Health plan includes a commitment to the principles of the Treaty of Waitangi and identifies barriers to access. It also recognises the importance of whānau. Assessments and care plans document any cultural/spiritual needs. Special consideration of cultural needs is provided in the event of death as outlined in the policy. The required activities and blessings are conducted when and as required. All staff receive cultural awareness training. There were three residents and five staff members who identify as Māori on the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family/whānau. Values and beliefs are discussed and incorporated into the care plan. Family members and residents interviewed confirmed they are encouraged to be involved in the development of resident lifestyle plans. Residents’ personal preferences and special needs were included in the resident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CSM stated that there have been no reported nor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general practitioner (GP) confirmed the service sought prompt and appropriate medical intervention when required and were responsive to medical requests. The GP reported that conferences are organised where various medical topics are discussed with staff members drawn from organisation they manage. Staff reported they receive management support for external education and access their own professional networks to support contemporary good practice. Shift handovers are completed between registered nurses and then huddles are conducted with care givers. Staff are provided with toolbox talks on different nursing and safety issues by the unit coordinator and CSM respectively.</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required. Staff can provide interpretation as and when needed and the use of family members and communication cards is encouraged. Those with visual impairment are supported by the Blind Low Foundation New Zealand that provides braille books.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Heritage Lifecare Limited strategic and business plans outline the organisation’s direction, purpose and values, and each facility develops their own set of goals and objectives to be achieved each year. The annual business plan for Hodgson House is currently being reviewed for 2021 and contained detailed and time framed goals and evidence of progress being made toward these. The CH&amp;VM stated that the regional quality and regional operations managers sign off the business plan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from the CH&amp;VM and the clinical services manager (CSM) to their national support office confirmed that the information provided is sufficiently detailed to monitor performance and includes narrative on any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CSM was appointed the acting CSM 9 April 2020 and moved into the permanent position on the 11 July 2020. The CSM is a registered nurse with a current annual practising certificate (APC) who has vast nursing and aged care sector experience. Responsibilities and accountabilities are documented in that person’s job description and individual employment agreement.  Interview with the CH&amp;VM and review of documents confirmed knowledge of the sector, regulatory and reporting requirements. The CH&amp;VM has maintained and updated sector knowledge prior to taking on this role. Interview and sighted records of professional development confirmed that compliance with the requirement in the aged related resident care (ARRC) contract for managers to attend at least eight hours of training annually is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 with the Bay of Plenty District Health Board (BOPDHB) for rest home, respite and hospital level care. Since the last audit the service has an agreement for three palliative care beds.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61 residents on site. Twenty-four of these were assessed at rest home level care exclusive of one respite rest home level care, two palliative care and 34 residents were receiving hospital level care (including one accident corporation commission (ACC)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CH&amp;VM is absent the CSM carries out all the required duties under delegated authority with support and back up from the regional quality manager and the regional operations manager. During absences of key clinical staff, the clinical management is overseen by one of the other senior registered nurses who is the unit coordinator who knows the residents and is able to take responsibility for any clinical issues that may arise. The general practitioner and the nurse practitioner are also available for clinical advice if needed.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regular resident and relative satisfaction surveys, surveillance of infections and restraint and implementation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monthly quality management team meetings, RN and staff meetings. Clinical and non-clinical staff are informed with posters of up and coming meetings. Staff reported their involvement in quality and risk management and the minutes of meetings are displayed and are accessible to read and be informed. Relevant corrective actions are developed and implemented to address any shortfalls. Resident and family satisfaction surveys are completed July annually. The most recent survey July 2020 results were reviewed, and these were benchmarked with against other services in the organisation. Two areas of improvement identified from the survey outcome report lead to corrective actions reports being developed one for environment and one for meal service delivery which have since been improved and feedback from family and residents has been positive. The few number of written compliments received and the positive response from random interviews of family and residents indicated a high level of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CH&amp;VM described the processes for the identification, monitoring, review and reporting of risks and development of mitigation strategies. The CH&amp;VM is familiar with the Health and Safety at Work Act (2015) and all requirements are implemented and embedded into the service.  Staff interviewed were also fully informed in respect of their health and safety obligations and reporting systems are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from 2020 - 2021 showed these were fully completed, incidents were investigated, action plans developed and actions followed-up in a timely manner to prevent recurrence. Adverse event data is collated, analysed and reported monthly to HHL national support office for benchmarking. The CH&amp;VM and the CSM review, comment and sign off all incident reports before they are uploaded in the electronic register for collation and analysis. Significant incidents and trends are discussed with all levels of staff to promote learning and identify remedial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CH&amp;VM fully understands and described essential notification reporting requirements. Since the previous audit there have been seven section 31 notifications made to the Ministry of Health (MoH) - HealthCERT. All forms reviewed were completed accurately. Latest information received from the MoH has been updated in the relevant policy to guide staff. One notification was also reported to HealthCERT and the appropriate agency in relation to a gastric outbreak infection in March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An APC register is maintained electronically.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The CSM and unit coordinator interviewed are responsible for facilitating the education programme and the administrator maintains all records. An education assessor has not been appointed yet for this role.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(NZQA) education programme to meet the requirements of the provider’s agreement with the DHB. Currently there are 38 care givers employed including casual staff. Twenty-eight (28) have completed relevant training and level 4, six (6) level 3, two (2) level 2 and two newly employed staff are yet to be enrolled for 2021 and this is currently being organised.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care staff have completed all relevant competencies such as restraint minimisation and safe practice, manual handling, pressure injury, fire, infection prevention and control. Senior care staff administering medicines have completed the medication competencies annually. The three activities coordinators have all completed a first aid course and one has completed the diversional therapy training. The maintenance manager has also completed first aid training.</w:t>
            </w:r>
          </w:p>
          <w:p w:rsidR="00EB7645" w:rsidRPr="00BE00C7" w:rsidP="00BE00C7">
            <w:pPr>
              <w:pStyle w:val="OutcomeDescription"/>
              <w:spacing w:before="120" w:after="120"/>
              <w:rPr>
                <w:rFonts w:cs="Arial"/>
                <w:b w:val="0"/>
                <w:lang w:eastAsia="en-NZ"/>
              </w:rPr>
            </w:pPr>
            <w:r w:rsidRPr="00BE00C7">
              <w:rPr>
                <w:rFonts w:cs="Arial"/>
                <w:b w:val="0"/>
                <w:lang w:eastAsia="en-NZ"/>
              </w:rPr>
              <w:t>All registered nurses have completed first aid and life support training. There are five trained and competent registered nurses who are maintaining their annual competency requirements to undertake interRAI assessments. In addition to this, two registered nurses are enrolled for 10 March 2021 to complete the relevant training. Records reviewed demonstrated completion of the required mandatory and elective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a four-week roster cycle confirmed adequate staff cover has been provided, with staff replaced in any unplanned absence. At least one staff member on duty has a current first aid certificate and there is 24/7 RN coverage at all times. The general practitioner and/or the nurse practitioner are on call 24 hours a day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and electronic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the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These include, NASC assessment, discharge summary and other required documents. Assessments and entry screening processes are documented and clearly communicated to the residents, family/whānau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were conducted within the required time frames and are signed on entry. Family/whānau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notification form from the DHB is utilised when residents are required to be transferred to the public hospital and the organisation’s transfer discharge form to another service. Residents and their family/whānau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on the management of the medication system. All medication entries sampled confirmed that they are reviewed as required and discontinued medications are indicated by the GP. Allergies are documented, identification photos are current and three-monthly reviews are completed. The RNs were observed administering medication correctly in their respective wings. Medications were stored in a safe and secure way in locked trolleys and in respective treatment rooms. Medication reconciliation is conducted by the RNs when a resident is transferred back to the service from hospital or any external appointments. The service uses pharmacy pre-packed packs that are checked by the RNs on delivery. The controlled drug register was current and correct. Weekly, monthly and six-monthly stock takes are conducted. Monitoring of medicine fridge and room temperatures are conducted regularly and deviations from normal were reported and attended to promptly.</w:t>
            </w:r>
          </w:p>
          <w:p w:rsidR="00EB7645" w:rsidRPr="00BE00C7" w:rsidP="00BE00C7">
            <w:pPr>
              <w:pStyle w:val="OutcomeDescription"/>
              <w:spacing w:before="120" w:after="120"/>
              <w:rPr>
                <w:rFonts w:cs="Arial"/>
                <w:b w:val="0"/>
                <w:lang w:eastAsia="en-NZ"/>
              </w:rPr>
            </w:pPr>
            <w:r w:rsidRPr="00BE00C7">
              <w:rPr>
                <w:rFonts w:cs="Arial"/>
                <w:b w:val="0"/>
                <w:lang w:eastAsia="en-NZ"/>
              </w:rPr>
              <w:t>Residents who are self-administering medication are assessed as competent to do so and medication was stored in a secure way. There is a policy and procedure for self-administration of medication. An annual medication competency is completed for all staff administering medications and medication training records were sighted. The medicines management system complies with legislation, protocols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The residents have a diet profile developed on admission which identifies dietary requirements, likes and dislikes and is communicated to the kitchen including any recent changes made. Residents are provided with alternative meals when needed and are encouraged to complete a meal request form. Diets are modified as required and the cooks confirmed awareness on dietary needs of the residents. There is a six-weekly rotating winter and summer menu in place. Meal services are prepared on site and served in the allocated dining rooms. Meals are served warm in sizeable portions required by residents and any alternatives are offered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weights are monitored monthly and supplements are provided to residents with identified weight loss issues. Snacks and drinks are available for residents who wake up during the night. The family members and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registered under the food control plan and the registration expires 27 November 2021. The kitchen and pantry were sighted and observed to be clean, tidy and stocked. Labels and dates were on all containers. Records of food temperature monitoring, fridges and freezers temperatures were maintained. Thermometer calibrations are completed three-monthly.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CSM reported that all residents who are declined entry are noted. Reasons for refusal are explained. When a resident is declined entry, family/whānau and the resident are informed of the reason for this and made aware of other options or alternative services available. The resident is referred to the referral agency to ensure that they will be admitted to the appropriate service provider. All outcome of entries are recorded on the resident information 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a needs assessment by the assessment agency. Initial nursing assessments are completed on admission, while residents’ lifestyle plans and interRAI are completed within three weeks according to policy. Subsequent interRAI assessments were not developed along with activity and resident lifestyle plan and activity plan refer (1.3.3.3). Assessments and care plans were detailed and included input from the family/whānau, residents and other health team members as appropriate. Additional assessments are completed according to the need; this included pain, behavioural, falls risk, nutritional requirements, continence, skin and pressure assessments. The nursing staff utilised standardised risk assessment tools on admission. In interviews conducted, family/whānau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family/whānau, inform the care plan and assist in identifying the required support to meet residents’ goals and desired outcomes. The care plans sampled were resident focused and individualised. Short term care plans are used for short-term needs. Family/whānau and residents interviewed confirmed they are involved in the care planning process. Residents’ files demonstrated service integration and evidence of allied healthcare professional’s involvement in the care of the resident such as the mental health services for older people, district nurses, physiotherapist, podiatrist,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in the service delivery plans were relevant to address the assessed needs and desired goals/outcomes. All significant changes were reported in a timely manner and prescribed orders carried out. The CSM reported that the GP and NPs medical input was sought in a timely manner, that medical orders were followed, and care is person centred. Care staff confirmed that care was provided as outlined in the care plan. 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are based on assessment and reflect the residents’ social, cultural, spiritual, physical, cognitive needs/abilities, past hobbies, interests and enjoyments. Residents’ files sampled reflect their preferred activities and were evaluated, however activity care plans were not in sync with interRAI assessments (Refer 1.3.3.3). The activities coordinator is assisted by an assistant activities’ coordinator, volunteers and students on placements. The activities coordinator develops a monthly activity planner which covers activities for the rest home and hospital level of care residents. These were posted on the notice boards to remind residents of upcoming activities. Residents’ activities information was completed in consultation with the family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a variety of activities on the day of the audit. There are planned activities and community connections that are suitable for the residents. There are regular outings for all residents. Residents and family/whānau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lifestyle plans, interRAI assessments and activity plans were evaluated at least six monthly and updated when there were any changes (Refer 1.3.3.3). Resident care is documented on each shift by care staff in the progress notes. The registered nurses completed progress notes daily and as necessary. All noted changes by the care staff were reported to the registered nurses in a timely manner. Relatives and staff were involved in the care planning process. The evaluations record how the resident is progressing towards meeting their goals and responses to interventions. Short term care plans were developed when needed and signed and closed out when acute problems have resolved. Monitoring of residents’ change of care needs is conducted weekly via zoom meetings or as needed by the regional quality manager and RNs. Evidence of completed change of care needs forms were sighted. The CSM reported that this assisted in re-assessments of residents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referral to other health and/or disability service providers where required. If the need for other non-urgent services are indicated or requested, the GP, NP and the nursing team sends a referral to seek specialist services assistance from the district health board (DHB). Referrals are followed up on a regular basis by the registered nurses, NP and GP. The resident and the family are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26 January 2021) was publicly displayed. A building systems status report provided states that a report has been issued in lieu of a building warrant of fitness (Form 12). A building warrant of fitness was unable to be supplied and displayed for the next current year due to Covid 19 Alert level restrictions preventing one or more scheduled inspections and/or maintenance procedures of the compliance schedule from being carried out. All specified systems in the building are currently performing to the performance standards stated in the buildings and compliance schedule.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are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observed to be safe, well maintained and suitable for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The maintenance request records reviewed confirmed that all requests are attended to in a timely way.  </w:t>
            </w:r>
          </w:p>
          <w:p w:rsidR="00EB7645" w:rsidRPr="00BE00C7" w:rsidP="00BE00C7">
            <w:pPr>
              <w:pStyle w:val="OutcomeDescription"/>
              <w:spacing w:before="120" w:after="120"/>
              <w:rPr>
                <w:rFonts w:cs="Arial"/>
                <w:b w:val="0"/>
                <w:lang w:eastAsia="en-NZ"/>
              </w:rPr>
            </w:pPr>
            <w:r w:rsidRPr="00BE00C7">
              <w:rPr>
                <w:rFonts w:cs="Arial"/>
                <w:b w:val="0"/>
                <w:lang w:eastAsia="en-NZ"/>
              </w:rPr>
              <w:t>Residents said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and additionally designated staff and visitor toilets. Rest home resident rooms’ have their own designated toilet and hand basin. Two additional communal toilets and two showers are available. There are two hospital wings in one area called Wisteria. All rooms have shared ensuites with two hand-basins. Four other hospital wings in Magnolia have shared ensuites, with only one standard room that does not have an ensuite bathroom. There are four extra toilets and separate showers available if needed. Toilets are available for staff and visitors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 independence. Monitoring of hot water temperatures occurs regularly, and the records sighted showed no temperatures above 45 degrees centigrade.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65 bedrooms provide single accommodation. There are no shared rooms. Rooms are personalised with furnishings, photos and other personal items displayed. There is a homely atmosphere and the service is well maintained on a daily basis.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to store mobility aids, wheelchairs and mobility scooters. Staff and residents reported the adequacy of bedrooms. A special area is designated for motor scooters to be stored when not in use. Facilities are provided for charging batteries and changing plugs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four lounge areas, one extra-large lounge and a separate sunroom. There are three large dining rooms and one small dining area. The designated library provides a separate small quiet lounge conveniently located to enable easy access for residents. Residents can access areas for privacy, if required. Furniture on visual inspection was in good condition and appropriate to the setting and residents’ needs. There are two large courtyards and several small courtyard areas with seating and shade provided for residents to enjoy.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laundry with two designated staff to manage this area of service delivery seven days a week. One staff member has worked in this role for 23 years and works effectively with the other team members. The laundry is large in size with planned and implemented clean and dirty areas. </w:t>
            </w:r>
          </w:p>
          <w:p w:rsidR="00EB7645" w:rsidRPr="00BE00C7" w:rsidP="00BE00C7">
            <w:pPr>
              <w:pStyle w:val="OutcomeDescription"/>
              <w:spacing w:before="120" w:after="120"/>
              <w:rPr>
                <w:rFonts w:cs="Arial"/>
                <w:b w:val="0"/>
                <w:lang w:eastAsia="en-NZ"/>
              </w:rPr>
            </w:pPr>
            <w:r w:rsidRPr="00BE00C7">
              <w:rPr>
                <w:rFonts w:cs="Arial"/>
                <w:b w:val="0"/>
                <w:lang w:eastAsia="en-NZ"/>
              </w:rPr>
              <w:t>Four cleaning staff with three care staff as additional staff members are available to cover both the cleaning and laundry services if and when required. Training has been provided as confirmed in interview with cleaning/laundry staff and review of their training records. Bulk chemicals were stored in a designated and lockable room and when needed, chemicals were being decanted safely into suitable and clearly labelled containers. Safety data sheets and adequate personal protective equipment and resources were sighted and available. The contracted company also has a pest control programme in place. The company involved also visits the facility regularly to check stocks and to order further supplies as needed. There is a separate sluice room for storing cleaning equipment and trollies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resident and relative feedback and the internal audit programme. All areas of the facility were observed to be clean and staff demonstrated that the daily practices occurring ensure maintenance of hygienic, reliable and regular cleaning throughout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staff in their preparation for disasters and describe the procedures to be followed in the event of a fire or other emergency. The current fire evacuation plan was approved by the New Zealand Fire Service 31 January 2006 and trial evacuations take place six-monthly with a copy sent to the New Zealand Fire Service. The most recent trial occurred 15 October 2020. The orientation programme includes fire and security training.  Staff confirmed their awareness of the emergency procedures. The onsite fire suppression systems are checked monthly by an appropriately qualified company.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65 residents and the Ministry of Civil Defence and Council Emergency Management recommendations for the region. The requirements for the BOPDHB agreement are also in place and quarterly key stakeholder group meetings are attended at the DHB by the CH&amp;VM. Minutes of meetings were reviewed. The emergency lighting system was being regularly tested by maintenance staff. Foot lights are installed throughout the building and wall lights operate from the nurses’ station. All emergency supplies in all service areas are checked on a regular basis as per the internal audit schedule. Diagram photographs with step by step processes are available in the event that the gas and/or water mains at street level have to be turned off in an emergency were available and accessible.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functioning on audit day and residents and families reported staff respond promptly to call bells. The current sensor mat system is connected to the nurse call system and rings often day and night. There is a battery backup for the call bell system. The service provider is presently looking at a more effective call bell system to replace the existing nurse call system.</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 outside sensor light is installed, and a security camera is in place. There have been no security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provided sufficient natural light and had opening external windows. One bedroom has a ranch slider door in the palliative area which opens out onto a deck area. Heating is provided by individual electric convector heaters in residents’ rooms and there were heat pumps in the communal areas and offices. Areas were warm and well ventilated throughout the audit and residents and family/whānau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organisational smoke free workplace policy is known and adhered to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programme to minimise the risk of infection to residents, staff and visitors. The programme is guided by a current infection control manual, with input from external specialists. The infection control programme is reviewed annually and is incorporated in the monthly meetings and a review of the education programme is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is the designated infection prevention and control coordinator (ICC), whose role and responsibilities are defined in a job description. Infection control matters, including surveillance results are reported monthly to the regional quality manager and to the monthly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on how long they must be away from work if they have been unwell. Staff interviewed understood these responsibilities. Vaccination is encouraged for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information that covers aspects of infection control for family/whānau and if they are unwell; it is recommended that they do not visit the service. During higher risk times of community infections and winter months, notices are placed at the door to remind people not to visit if they are unwell. There is sanitising hand gel at the entrance and throughout the service. Hand washing and sanitiser dispensers are readily available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was an infection outbreak reported and this was managed according to policy and all relevant notifications were completed. Evidence of this was sighted in reports and documents reviewed. Information on the management of the novel coronavirus was readily available for staff and visitors. Toolbox talks on Covid-19 and pandemic plans were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(ICC) has appropriate skills, knowledge and qualifications for the role and has attended specific education related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Additional support and information are accessed from the regional quality manager, the infection control team at the DHB and the GP or NP as required. The coordinator has access to residents’ records and diagnostic results to ensure timely treatment and resolution of any infections. The coordinator confirmed the availability of resources and external specialists to support the programme and any potential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The policies and procedures are developed by the organisation with advice from external specialists. Policies were last reviewed in 2019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regional quality manager and other specialist consultants. The infection control coordinator attended infection prevention and control training conducted by an external consultant to keep their knowledge current. A record of attendance is maintained and was sighted. The training education information pack is detailed and meets best practice and guidelines. External contact resources included the GP, NP,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Data is benchmarked against other sister facilities and this process has provided assurance that infection rates in the facility are below average for the sector. Staff interviewed reported that they were informed of infection rates at monthly staff meetings and through compiled reports. The GP or NP are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clinical services manager is the designated restraint coordinator who has been in this role for five years providing support and oversight for enabler and restraint management in the facility. The clinical services manager interviewed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are using enablers voluntarily and five residents are using a restraint. Restraint is used as a last resort when all alternatives have been explored. This was evident on review of the restraint approval group minutes, files reviewed, and from interviews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have terms of reference for the composition and responsibilities of the restraint approval group/committee and the practices at Hodgson House adhere to these. Approval for the use of restraint is coordinated by the CSM who is the nominated restraint coordinator, the CH&amp;FM, the GP/nurse practitioner, unit coordinator and resident representative. It was evident from review of restraint approval group meeting minutes, residents’ files and interview with the CSM/restraint coordinator that there are clear lines of accountability, all restraints have been approved, and the overall use of restraints is being monitored and analysed. When the consent forms are signed, they are then scanned into the electronic system for restraint minimisation and safe practice. Interview with a family member confirmed their involvement in the approval, ongoing review and overall decision making. Safe use of restraint was clearly described in the plans of care reviewed for the five residents with a restraint intervention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this Standard. The CSM/restraint coordinator undertakes an initial assessment with involvement and input from the resident’s family/whānau/EPOA. When interviewed the restraint coordinator and/or unit coordinator demonstrated good knowledge of the process and a family member confirmed their involvement and this was validated by the general practitioner/nurse practitioner confirming that they were involved and informed about the use of the restraint. During the assessment process identification of the underlying cause, history of restraint use, cultural considerations, alternatives and associated risks were ascertained. The desired outcome was to ensure the resident’s safety and security. Completed assessments were sighted in the records of all the residents who were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family/whānau members, for example, the use of sensor mats, low- low beds and ‘fall out’ mattresses.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The enabler and restraint registers are maintained separately. The restraint register is kept updated and includes details about the resident, the type of restraint in use, the date of approval and commencement and review periods. The register logs the reasons for ceasing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care plan and interRAI reviews, six monthly restraint evaluations and at the three-monthly restraint approval committee meetings. Family/whānau interviewed confirmed their involvement in the evaluation process and their satisfaction with the restraint process. Enablers are documented in the mobility and transfer section of the long-term care plan. Evaluations are discussed and information is documented at the restraint meetings three monthly. Minutes of the restraint meetings were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three-monthly restraint meeting minutes confirmed these as a comprehensive quality review of all restraint use. This meets the requirements of this Standard. Trends in restraint use is reported to the quality and staff meetings. The restraint committee consider the overall use and type of restraint in place, whether all alternatives to restraint had been considered, the effectiveness of the restraint in use, the competency of staff and the appropriateness of restraint / enabler education and feedback received from other parties. Internal audits on restraint also informs these meetings. Any changes to policies, guidelines, education and processes are implemented if indicated. Policies related to restraint minimisation and safe practice are currently being reviewed at support office.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28"/>
        <w:gridCol w:w="1280"/>
        <w:gridCol w:w="6798"/>
        <w:gridCol w:w="1436"/>
        <w:gridCol w:w="16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resident lifestyle plans were completed within three weeks of admission by the nursing team. Subsequent six monthly interRAI assessments were not in line with resident lifestyle plans and activity plans. Resident lifestyle plans were developed in consultation with residents, family/whānau, and care and activities staff. This was confirmed by family/whānau in interview conducted. Evidence of this was sighted in the residents’ files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lifestyle plans and activity plans were not in sync with six-monthly interRAI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interRAI assessments are in sync with resident lifestyle plans and activity plans evaluations.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Hodgson House</w:t>
    </w:r>
    <w:bookmarkEnd w:id="58"/>
    <w:r>
      <w:rPr>
        <w:rFonts w:cs="Arial"/>
        <w:sz w:val="16"/>
        <w:szCs w:val="20"/>
      </w:rPr>
      <w:tab/>
      <w:t xml:space="preserve">Date of Audit: </w:t>
    </w:r>
    <w:bookmarkStart w:id="59" w:name="AuditStartDate1"/>
    <w:r>
      <w:rPr>
        <w:rFonts w:cs="Arial"/>
        <w:sz w:val="16"/>
        <w:szCs w:val="20"/>
      </w:rPr>
      <w:t>21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