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Carter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Carter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January 2021</w:t>
      </w:r>
      <w:bookmarkEnd w:id="7"/>
      <w:r w:rsidRPr="009418D4">
        <w:rPr>
          <w:rFonts w:cs="Arial"/>
        </w:rPr>
        <w:tab/>
        <w:t xml:space="preserve">End date: </w:t>
      </w:r>
      <w:bookmarkStart w:id="8" w:name="AuditEndDate"/>
      <w:r w:rsidR="00A4268A">
        <w:rPr>
          <w:rFonts w:cs="Arial"/>
        </w:rPr>
        <w:t>20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Carter House provides rest home, hospital and dementia level care for up to 65 residents. The service is operated by Heritage Lifecare Limited and managed by a care home and village manager and a clinical services manager. Since the last audit the clinical services manager has recently changed and HealthCERT has been notified.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management, staff, and a general practitioner.</w:t>
      </w:r>
    </w:p>
    <w:p w:rsidRPr="00A4268A">
      <w:pPr>
        <w:spacing w:before="240" w:line="276" w:lineRule="auto"/>
        <w:rPr>
          <w:rFonts w:eastAsia="Calibri"/>
        </w:rPr>
      </w:pPr>
      <w:r w:rsidRPr="00A4268A">
        <w:rPr>
          <w:rFonts w:eastAsia="Calibri"/>
        </w:rPr>
        <w:t>This audit identified no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There is open communication between staff, residents and families.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As a Heritage Lifecare Limited (HLL) facility, Carter House is guided by the organisation’s business and quality and risk management plans.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HLL quality and risk management system include collection and analysis of quality improvement data, identifies trends and leads to improvements at a national and local level.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Staff work across all services and all staff who work in the dementia care service have completed the appropriate training.</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 and family. </w:t>
      </w:r>
    </w:p>
    <w:p w:rsidRPr="00A4268A" w:rsidP="00621629">
      <w:pPr>
        <w:spacing w:before="240" w:line="276" w:lineRule="auto"/>
        <w:rPr>
          <w:rFonts w:eastAsia="Calibri"/>
        </w:rPr>
      </w:pPr>
      <w:r w:rsidRPr="00A4268A">
        <w:rPr>
          <w:rFonts w:eastAsia="Calibri"/>
        </w:rPr>
        <w:t xml:space="preserve">Residents’ needs are assessed by qualified personnel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competent staff.</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Carter House meets the needs of residents and was clean and well maintained. The building warrant of fitness requirements have been effectively met and a verification status report was available and displayed in the meantime due to Covid 19. The service is awaiting the updated building warrant of fitness from the Western Bay of Plenty Council.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is well managed. Staff use protective equipment and clothing.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and a restraint free environment.  </w:t>
      </w:r>
    </w:p>
    <w:p w:rsidRPr="00A4268A">
      <w:pPr>
        <w:spacing w:before="240" w:line="276" w:lineRule="auto"/>
        <w:rPr>
          <w:rFonts w:eastAsia="Calibri"/>
        </w:rPr>
      </w:pPr>
      <w:r w:rsidRPr="00A4268A">
        <w:rPr>
          <w:rFonts w:eastAsia="Calibri"/>
        </w:rPr>
        <w:t xml:space="preserve">One enabler was in use at the time of audit. Use of enablers is voluntary for the safety of residents in response to individual requests. </w:t>
      </w:r>
    </w:p>
    <w:p w:rsidRPr="00A4268A">
      <w:pPr>
        <w:spacing w:before="240" w:line="276" w:lineRule="auto"/>
        <w:rPr>
          <w:rFonts w:eastAsia="Calibri"/>
        </w:rPr>
      </w:pPr>
      <w:r w:rsidRPr="00A4268A">
        <w:rPr>
          <w:rFonts w:eastAsia="Calibri"/>
        </w:rPr>
        <w:t>No restraints were in use. Staff demonstrated a sound knowledge and understanding of the restraint free philosophy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nurse,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6"/>
        <w:gridCol w:w="1280"/>
        <w:gridCol w:w="99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Carter House had developed policies, procedures and processes to meet its obligations in relation to the Code of Health and Disability Services Consumers’ Rights (the Code). The interviewed staff understood the requirements of the Code and were observed demonstrating respectful communication, encouraging independence, providing options, and maintaining dignity and privacy. Training on the Code was included as part of the orientation process for all staff employed and in ongoing training. This was verified in training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interviewed registered nurses (RN) and caregivers understood the principles and practice of informed consent. Informed consent policies provide relevant guidance to staff. Clinical files reviewed show that informed consent has been gained appropriately using the organisation’s standard consent form. Residents in the dementia unit were admitted with the consent of the EPOAs. Advance care planning, establishing and documenting enduring power of attorney requirements and processes for residents unable to consent is defined and documented. EPOAs for residents in the dementia unit were all activated and for other residents in other units as relevant. Staff were seen obtaining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copy of the Code and information on the Advocacy Service is given to residents during the admission process. Posters and brochures related to the Advocacy Service and the Code were displayed at the reception and on notice boards in each unit. Family/whānau and residents spoken with were aware of the Advocacy Service, how to access this and their right to have support persons. The clinical services manager (CSM) provided examples of the involvement of Advocacy Services in relation to coordination of residents’ meetings. A representative from the health and disability commissioner has provided education on advocacy services to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family/whānau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family/whānau and friends. Family members/whānau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complaints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is maintained electronically by the care home and village manager (CH&amp;VM). The complaints register reviewed showed nine complaints, eight of which had been addressed and closed out effectively and one complaint recently received and followed-up has been responded to and a corrective action plan implemented. There has been one health and disability complaint received in 2018 which has been closed out in November 2019. Accurate records were maintained. No other external complaints were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was displayed at the reception and on notice boards in each unit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Staff maintained privacy during provision of personal cares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encouraged to maintain their independence by attending to community activities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occurred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was a current Māori health plan developed with input from cultural advisers.  Guidance on tikanga best practice was available and is supported by staff who identify as Māori in the facility. Residents who identify as Māori and their whānau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or enduring power of attorney (EPOA) were consulted on residents’ individual culture, values and beliefs. This and that staff respected these was verified in interviews conducted. Residents’ personal preferences required interventions and special needs were included in care plans reviewed. The resident satisfaction survey confirmed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stated that residents were free from any type of discrimination, harassment or exploitation and felt safe. The induction process for staff includes education related to professional boundaries, expected behaviours and the Code of Conduct.  All registered nurses had records of completion of the required training on professional boundaries.  There are policies and procedures to guide staff. Interviewed staff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 team, diabetes nurse specialist, wound care specialist, psycho-geriatrician and mental health services for older persons, and regular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Other examples of good practice observed during the audit included access to online training programmes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documents evidenced that family/whānau and EPOAs were informed about any changes to their relative’s status. Families/whānau and EPOA confirmed that they were advised in a timely manner about any incidents or accidents and outcomes of regular and any urgent medical reviews. 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staff able to provide interpretation as and when needed; the use of family members and communication cards for those with communication difficulties.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(BPA) Limited (HLL) have a standard business plan template which Carter House uses to identify site specific objectives and these are linked to the quality plan objectives. The HLL documents describe annual and longer term objectives and Carter House manager’s report against these. A sample of weekly and monthly reports were reviewed which go to support office and are monitored/reviewed by the regional operations manager and the quality team. The reports sighted showed adequate information to monitor performance is reported including financial performance, health and safety compliance, occupancy, staffing, emerging risks and clinical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managed for the past two years by the CH&amp;VM who is a registered nurse with extensive sector experience. The CH&amp;VM is supported by the newly appointed clinical services manager who has worked at this facility for 20 years (HealthCERT were notified of this newly appointed role on the day of the audit). Responsibilities and accountabilities are defined in a job description and individual employment agreement. The regional quality manager present at the audit, the CH&amp;VM and clinical services manager confirmed knowledge of the sector, regulatory and reporting requirements when interviewed. All have attended ongoing education through the DHB and sector organisational study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holds contracts with Bay of Plenty District Health Board for aged related residential care including hospital medical, hospital-geriatric, rest home, respite and dementia care.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64 residents were residing at Carter House with 17 residents receiving services within the dementia unit, 19 residents were rest home level care and 28 residents receiving hospital level care. No residents were receiving respite care or hospital medical.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When the CH&amp;VM is absent, the clinical services manager carries out all the required duties under delegated authority. During absences of key clinical staff, the clinical management is overseen by the regional quality manager who reports to the regional operations manager. Both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audit activities, a document control system, management of incidents and complaints, a regular resident and family satisfaction survey, monitoring of outcomes, clinical incident monitoring including infections, falls, pressure injuries, skin tears, weight loss and medication errors. The organisation is committed to continuous quality improvement and clearly outlines the key elements of the quality programme in place and reviewed.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combined staff, quality, infection control, health and safety and restraint free meeting. Staff reported their involvement in quality and risk management activities through, meeting attendance, incident reporting, hazard identification and audit activities.  Relevant corrective actions are developed and implemented to address any shortfalls. Resident and family satisfaction surveys are required to be completed annually and regular feedback is provided to managers by the residents, visitors and family/whānau. Managers reported that actions are taken in response to any feedback as appropriate. Surveys are performed as required by HLL in November and May each year. A new system was trialled in November and results available 12 January were mostly positive and a corrective action plan reflected two areas identified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quality manager described the processes for the identification, monitoring, review and reporting of risks and development of mitigation strategies. The CH &amp; VM is familiar with the Health and Safety at Work Act (2015). The health and safety staff representative reported that she has attended appropriate training and the organisation has implemented all requirements. The hazard and risk register is maintained and updated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incident/ accident form. A sample of incidents forms reviewed showed these were fully completed, incidents were investigated, action plans developed and actions followed-up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analysed and reported via the organisation’s central system managed by the clinical and quality team.</w:t>
            </w:r>
          </w:p>
          <w:p w:rsidR="00EB7645" w:rsidRPr="00BE00C7" w:rsidP="00BE00C7">
            <w:pPr>
              <w:pStyle w:val="OutcomeDescription"/>
              <w:spacing w:before="120" w:after="120"/>
              <w:rPr>
                <w:rFonts w:cs="Arial"/>
                <w:b w:val="0"/>
                <w:lang w:eastAsia="en-NZ"/>
              </w:rPr>
            </w:pPr>
            <w:r w:rsidRPr="00BE00C7">
              <w:rPr>
                <w:rFonts w:cs="Arial"/>
                <w:b w:val="0"/>
                <w:lang w:eastAsia="en-NZ"/>
              </w:rPr>
              <w:t>The CH &amp; VM manager and the regional quality manager described essential notification reporting requirements, including for pressure injuries and that these are escalated to the head of quality and clinical at support office who is responsible for ensuring notifications occur. They advised there have been five notifications of significant events made to the Ministry of Health, since the previous audit including notification to HealthCERT of the newly appointed clinical service manager as per (1.2.2).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An electronic system is used for the recruitment process and includes referee checks, police vetting and validation of qualifications and practising certificates (APCs), where required. A sample of eight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requires the completion of orientation and competency workbooks which include all necessary components relevant to the role. Staff reported that the orientation process prepared them well for their role.  Staff records reviewed showed documentation of completed orientation and a performance review after a three-month period. The CH &amp; VM is responsible for ensuring the staff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All RNs, maintenance and activities staff are required to have first aid training and staff interviewed reported they have completed the training. Care staff have either completed or commenced a New Zealand Qualification Authority education programme to meet the requirements of the provider’s agreement with the DHB. The clinical services manager interviewed is the assessor for the education programme. Staff working in the dementia care area have completed the required education being one enrolled nurse (EN) and eight of nine registered nurses have completed dementia training. Twenty-six (26) of 31 care givers have completed dementia training. Twelve (12) care staff have completed level three, seven level four, seven level two, five are enrolled and seven are not enrolled yet into the programme for level three and four. All but two care staff have yet to complete the dementia training. All level three and four caregivers have completed medication competencies annually.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HLL provides a documented process which is implemented at Carter House for determining staffing levels and skill mixes to provide safe service delivery, 24 hours a day, seven days a week (24/7). The facility adjusts staffing levels to meet the changing needs of residents. An afterhours on call roster is in place, and the clinical service manager reported she lives in close proximity to the facility. Staff reported that good access to advice is available when needed. Care staff reported there were adequate staff available to complete the work allocated to them. Residents and family/whānau interviewed supported this. Observations and review of four weeks of rosters confirmed adequate staff cover has been provided, with staff replaced in any unplanned absence. At least one staff member on duty has a current first aid certificate and there is 24/7 RN coverage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RNs who are interRAI trained and assessed as competent.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information was paper based for most assessments and care plans except for interRAI assessments that were electronically recorded. 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Time and dates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were held securely on site and were readily retrievable using a cataloguing system. Residents’ files are held for the required period before being destroyed. No personal or private resident information was on public display during the audit. There were destruction bins for confidential information that were locked and kept in a safe place in the care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Carter House when their required level of care has been assessed and confirmed by the local Needs Assessment and Service Coordination (NASC) Service. This was verified in the records reviewed. Prospective residents and/or their families/whānau are encouraged to visit the facility prior to admission and are provided with written information about the service and the admission process. The service seeks updated information from NASC and GP for residents accessing respite care. The residents in the dementia unit were admitted with the consent of the EPOAs. The sighted admission agreements were signed by the EPOAs.</w:t>
            </w:r>
          </w:p>
          <w:p w:rsidR="00EB7645" w:rsidRPr="00BE00C7" w:rsidP="00BE00C7">
            <w:pPr>
              <w:pStyle w:val="OutcomeDescription"/>
              <w:spacing w:before="120" w:after="120"/>
              <w:rPr>
                <w:rFonts w:cs="Arial"/>
                <w:b w:val="0"/>
                <w:lang w:eastAsia="en-NZ"/>
              </w:rPr>
            </w:pPr>
            <w:r w:rsidRPr="00BE00C7">
              <w:rPr>
                <w:rFonts w:cs="Arial"/>
                <w:b w:val="0"/>
                <w:lang w:eastAsia="en-NZ"/>
              </w:rPr>
              <w:t>Family/whānau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nursing team with support from the GP manages the exit, discharge or transfer in a planned and co-ordinated manner, with an escort provided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that adequate information was provided, and the organisation’s policies and procedures were followed. Family of the resident reported being kept well informed during the transfer of their relative.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Carter House has a current medication management policy that identified all aspects of medicine management in line with the Medicines Care Guide for Residential Aged Care. There is a safe electronic medication management system. The RN was observed administering medicines to residents and they demonstrated good knowledge, clear understanding of their role and responsibilities related to each stage of medicine management. All staff who administer medicines had current medication administration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supplied medication packs are checked by an RN against the prescription and documented on the electronic medication management system. All medications sighted in the medication storage room and the medication trolleys were within current use by dates. Appropriate monitoring systems were implemented for eye drops and eardrops in use. Clinical pharmacist input is provided on request. Medicines were stored safely in locked trolleys in locked medication storage rooms. 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Appropriate prescribing practices including the prescriber’s signature and date recorded on the commencement and discontinuation of medicines and all requirements for pro re nata (PRN) medicines was evidenced on the electronic medication charts reviewed. The required three-monthly medication reviews were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medications at the time of audit. Appropriate processes were in place to ensure this was managed in a safe manner. Self-medication administration assessment and consent forms were completed, and three-monthly competency assessments were completed.</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were monitored and comprehensive processes for analysis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cook and the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main cook is responsible for all food procurement. Since the last audit the organisation has an engaged external contractor who provides special diet like pureed meals and fortified food. The service operates with an approved food safety plan and registration issued by the ministry of primary industries. Food temperatures, including for high risk items, are monitored appropriately, and recorded as part of the plan. The food main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and diet profile were completed for each resident on admission. The personal food preferences, any special diets and modified texture requirements are made known to kitchen staff and accommodated in the daily meal plan. Residents in the secure unit always have access to food and fluids to meet their nutritional needs.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CSM reported that if a referral is received but the prospective resident does not meet the entry criteria or there is no vacancy, the local NASC is advised to ensure the prospective resident and family/whānau are supported to find an appropriate care alternative. A record of enquiries was maintained and follow up was completed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Validated nursing assessment tools such as pain scale, falls risk, pressure risk, nutritional screening, continence and oral health oral screening were used to identify and document any deficits and to inform care planning. The reviewed care plans had an integrated range of resident-related information. All residents have current interRAI assessments completed and the relevant outcome scores have supported care plan goals and interventions. Residents and families/whānau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were individualised and reflected the support needs of residents, and the outcomes of the integrated assessment process and other relevant clinical information. The needs identified by the interRAI assessments were reflected in care plans reviewed. Behaviour management plans were completed for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in the reviewed documentation, observations and interviews with residents, family/whānau and staff verified that care provided to residents was consistent with their needs, goals, and the plan of care. The attention to meeting a diverse range of resident’s individualised needs was evident in all areas of service provision. The interviewed GP verified that medical input was sought in a timely manner that medical orders were followed, and care was provided promptly. The caregivers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trained diversional therapists, two activities coordinators ad one volunteer who provide the activities programme. The activities programme in the rest home and hospital wings are run by the activities personnel Mondays to Fridays and resident initiated on Saturday and Sunday. Activities in the dementia unit are run by the activities personnel every day of the week. The activities are held in each unit separately, but residents are allowed to attend to activities in other units if they wish to do so.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needs, interests, abilities, and social requirements were assessed on admission using a social history and assessment form. Activities on the programme is regularly reviewed by the activities team and the care home and village manager monthly to help formulate an activities programme that is meaningful to the residents. The resident’s activity needs and plans are evaluated six-monthly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on the programme reflected residents’ goals, ordinary patterns of life and included normal community activities. Individual, group activities and regular events are offered. Residents and families/whānau are involved in evaluating and improving the programme through regular residents’ meetings and satisfaction surveys. Residents interviewed confirmed they find the programme satisfactory.</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in the secure dementia unit are specific to the needs and abilities of the people living there. Activities are offered at times when residents are most physically active and/or restless. This includes pamper sessions, watering plants, walks in the secure gardens, outside entertainment, van outings and outdoor sweeping.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caregivers. Changes noted were reported to the RN. This was verified in the residents’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were completed every six months following the six-monthly interRAI reassessment, or as residents’ needs change. Where progress was different from expected, the service responded by initiating changes to the plan of care. Short-term care plans were being consistently reviewed and progress evaluated as clinically indicated. The sighted short care plans sighted were for acute infections, wounds, and unintentional weight loss. Unresolved short-term problems were added to the long-term care plan. Residents and families/whānau /EPOAs were involved in six-monthly multi-disciplinary review meetings. Residents and families/whānau/EPOA interviewed confirmed their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to specialist services were sighted in residents’ files reviewed. The resident and the family/whānau were kept informed of the referral process, as verified by documentation and interviews. Any acute/urgent referrals were attended to immediately, such as sending the resident to accident and emergency in an ambulance as detected by the circumstances.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the needs of a resident changed and they were no longer suitable for the services offered, a referral for reassessment to the NASC was made and a new placement found, in consultation with the resident and whānau/family.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HLL documented processes for the management of waste and infectious and hazardous substances. Signage is displayed where necessary. An external company is contracted to supply and manage all chemicals and cleaning products and they also provide relevant training for staff. Material safety data sheets and personal protective equipment (PPE) resources were available where chemicals are used and staff interviewed knew what to do should any chemical spill/event occur. Any bulk chemicals purchased are stored in a caged area within a locked and well sign- posted 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maintenance programme and monthly environmental checks are completed. The maintenance coordinator was interviewed and all records were reviewed. Staff interviewed understood who to ring if afterhours or urgent assistance is required. Contact details were accessible.  </w:t>
            </w:r>
          </w:p>
          <w:p w:rsidR="00EB7645" w:rsidRPr="00BE00C7" w:rsidP="00BE00C7">
            <w:pPr>
              <w:pStyle w:val="OutcomeDescription"/>
              <w:spacing w:before="120" w:after="120"/>
              <w:rPr>
                <w:rFonts w:cs="Arial"/>
                <w:b w:val="0"/>
                <w:lang w:eastAsia="en-NZ"/>
              </w:rPr>
            </w:pPr>
            <w:r w:rsidRPr="00BE00C7">
              <w:rPr>
                <w:rFonts w:cs="Arial"/>
                <w:b w:val="0"/>
                <w:lang w:eastAsia="en-NZ"/>
              </w:rPr>
              <w:t>All waste is recycled and collected by the preferred contracted service on a regular basis. Medical waste is collected as needed as is the yellow sharps containers used by the nursing staff for syringes. The contracted pharmacy collects and arranges the disposal of these items.</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for all aspects of service delivery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29 November 2020 is publicly displayed. Correspondence from Fire Security Services – specified system status report evidences the specified systems are currently performing to the performance standard stated in the compliance schedule as at 26 November 2020. A form 12A was unable to be issued due to restrictions in force under the Covid-19 alert levels preventing the following scheduled inspection, maintenance and reporting procedures of the compliance schedule from being carried out: March &amp; April, - monthly inspections as this was not an essential service under lockdown Level 3 &amp; level 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including the van hoist, is current as confirmed in documentation reviewed, interviews with maintenance personnel and observation of the environment. Residents were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with multiple easy access doors.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and any requests are appropriately actioned. Residents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Carter House for the 64 residents on the day of audit. The dementia unit has two showers and four toilets. All rooms have a hand basin in all service areas. The rest home wing has eight rooms with ensuite bathrooms inclusive of a shower and toilet and two communal bathrooms. In addition to this there are four communal toilets. In the hospital there are three ensuite rooms and 13 shared bathrooms shower/toilet, two separate showers and one separate toilet.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Separate staff and visitor toilets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Carter House staff and residents to move around within their bedrooms safely. All bedrooms provide single accommodation. There are no designated shared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40 dual purpose rooms have adequate door width and room size as required for hospital level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hoists,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in-door and out-doors for residents to engage in activities. The dining and lounge areas are particularly spacious and enable easy access for residents and staff. Residents can access areas for privacy, if required in their own rooms, the whānau room and/or the garden. </w:t>
            </w:r>
          </w:p>
          <w:p w:rsidR="00EB7645" w:rsidRPr="00BE00C7" w:rsidP="00BE00C7">
            <w:pPr>
              <w:pStyle w:val="OutcomeDescription"/>
              <w:spacing w:before="120" w:after="120"/>
              <w:rPr>
                <w:rFonts w:cs="Arial"/>
                <w:b w:val="0"/>
                <w:lang w:eastAsia="en-NZ"/>
              </w:rPr>
            </w:pPr>
            <w:r w:rsidRPr="00BE00C7">
              <w:rPr>
                <w:rFonts w:cs="Arial"/>
                <w:b w:val="0"/>
                <w:lang w:eastAsia="en-NZ"/>
              </w:rPr>
              <w:t>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housekeeping staff and caregivers demonstrated a sound knowledge of the laundry processes, dirty/clean flow and handling of soiled linen. Certificates are displayed for education undertaken by staff. A contracted service provider ensures adequate stocks of laundry and cleaning products are available at all times. Regular checks of all equipment is monitored for safety. Safety data sheets are accessible in both the laundry and cleaning utility room. Residents and family/whānau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Cleaning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regularly by the CH&amp;VM from residents, family and staff feedback and through internal audit activity.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provides policies and guidelines for emergency planning, preparation and response for each facility to use in the development of site-specific plans. Instructions are displayed and known to staff. HLL disaster and civil defence planning guides direct facilities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28 February 2001. A trial evacuation takes place six-monthly with an external expert providing oversight and feedback, the most recent being on 16 December 2020.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64 residents. Emergency water meets the requirements of the Western Bay of Plenty Council. Water storage containers are changed regularly and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through an electronic system to residents requiring assistance. Call bells are positioned throughout the facility in all rooms and communal areas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depending on the season and staff do security checks at night. Night patrols are done in the area by a contracted security company several times a night and visits are recorded. New signage has been provided to alert residents, staff and visitors to the facility regarding the closed-circuit television (CCTV) security in place. Sensor lights are installed externally around the facility for safety purposes.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individual residents’ rooms and communal areas are heated and ventilated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Rooms have natural light and external windows that open to the outside.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is provided in the residents’ rooms and communal areas by gas heaters. Heat pumps are located in the nurse’s stations and the offices. </w:t>
            </w:r>
          </w:p>
          <w:p w:rsidR="00EB7645" w:rsidRPr="00BE00C7" w:rsidP="00BE00C7">
            <w:pPr>
              <w:pStyle w:val="OutcomeDescription"/>
              <w:spacing w:before="120" w:after="120"/>
              <w:rPr>
                <w:rFonts w:cs="Arial"/>
                <w:b w:val="0"/>
                <w:lang w:eastAsia="en-NZ"/>
              </w:rPr>
            </w:pPr>
            <w:r w:rsidRPr="00BE00C7">
              <w:rPr>
                <w:rFonts w:cs="Arial"/>
                <w:b w:val="0"/>
                <w:lang w:eastAsia="en-NZ"/>
              </w:rPr>
              <w:t>Areas were being cooled as needed on the day of audit. Residents and families/whānau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Carter House has implemented an infection prevention and control (IPC) programme to minimise the risk of infection to residents, staff and visitors. The programme is guided by a comprehensive and current infection control manual, with input from expert services.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IPC nurse, whose role and responsibilities are defined in a job description. Infection control matters, including surveillance results, are reported monthly to the CSM and tabled at the quality and risk committee meeting. This committee includes the CSM, the care home and village manager, IPC nurse,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was signage at the main entrance to the facility that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COVID-19 pandemic plan in place and current information on infection control measures and contact tracing requirements were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nurse has appropriate knowledge and qualifications for the role, and has been in this role for a year. The IPC nurse has completed infection prevention and control study days and online training, as verified in training records sighted. Additional support and information are accessed from the CSM,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resources to support the programme and any outbreak of an infection was sighted on the days of the audit. The infection control programme was last reviewed in October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ongoing education sessions.  Education is provided by the CSM and other suitably qualified personnel. Content of the training was documented and evaluated to ensure it was relevant, current and understood. A record of attendance was maintained. When an infection outbreak or an increase in infection incidence has occurred, there was evidence that additional staff education has been provided in response. Additional education was provided to all staff and residents during the COVID-19 pandemic period.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nurse reviews all reported infections and these were documented. New infections and any required management plans were discussed at handover, to ensure early intervention occurred.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was collated and analysed to identify any trends, possible causative factors and required actions. Results of the surveillance programme were shared with staff via regular staff meetings and at staff handovers. Graphs were produced that identify trends for the current year, and comparisons against the previous month and year and this is reported to the clinical services manager, IPC committee and quality team at the organisation’s head office. Data is benchmarked internally within the group.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There was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policies and procedures meet the requirements of the restraint minimisation and safe practice standards and provided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use has been eliminated at Carter House with alternatives being explored and used instead. Managers stated the facility has been restraint free for two months and they gave examples of measures taken to ensure resident safety without the use of restraint for people unable to consent to the use of an enabler.</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role is performed by a registered nurse who provides support and oversight for enabler use and maintenance of a restraint free facility. The RN has been in this role for seven years and demonstrated a sound understanding of the organisation’s policies, procedures and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All RNs are required to be restraint competent and evidence of this was in staff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one resident was using a bedrail as an enabler. This was used voluntarily at the request of the resident. A similar process is followed for the use of enablers at Carter House that is described in HLL policy for restraint use. This was evident on review of the residents’ files, and from interviews with managers and staff. The enabler use has been regularly reviewed for the resident using the bedrail, as required by HLL policy and the enabler register included documented goals for the resident concerned.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Carter House</w:t>
    </w:r>
    <w:bookmarkEnd w:id="58"/>
    <w:r>
      <w:rPr>
        <w:rFonts w:cs="Arial"/>
        <w:sz w:val="16"/>
        <w:szCs w:val="20"/>
      </w:rPr>
      <w:tab/>
      <w:t xml:space="preserve">Date of Audit: </w:t>
    </w:r>
    <w:bookmarkStart w:id="59" w:name="AuditStartDate1"/>
    <w:r>
      <w:rPr>
        <w:rFonts w:cs="Arial"/>
        <w:sz w:val="16"/>
        <w:szCs w:val="20"/>
      </w:rPr>
      <w:t>19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