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Elizabeth R</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Elizabeth R</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February 2021</w:t>
      </w:r>
      <w:bookmarkEnd w:id="7"/>
      <w:r w:rsidRPr="009418D4">
        <w:rPr>
          <w:rFonts w:cs="Arial"/>
        </w:rPr>
        <w:tab/>
        <w:t xml:space="preserve">End date: </w:t>
      </w:r>
      <w:bookmarkStart w:id="8" w:name="AuditEndDate"/>
      <w:r w:rsidR="00A4268A">
        <w:rPr>
          <w:rFonts w:cs="Arial"/>
        </w:rPr>
        <w:t>4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Elizabeth R provides rest home and hospital level care for up to 38 residents. The service is operated by Heritage Lifecare Limited and managed by a care home and village manager and a clinical services manager. Residents and families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Taranaki District Health Board. The audit process included review of policies and procedures, review of staff and residents’ records, observations and interviews with residents, family members, management, staff, contracted allied health professionals and a nurse practitioner.</w:t>
      </w:r>
    </w:p>
    <w:p w:rsidRPr="00A4268A">
      <w:pPr>
        <w:spacing w:before="240" w:line="276" w:lineRule="auto"/>
        <w:rPr>
          <w:rFonts w:eastAsia="Calibri"/>
        </w:rPr>
      </w:pPr>
      <w:r w:rsidRPr="00A4268A">
        <w:rPr>
          <w:rFonts w:eastAsia="Calibri"/>
        </w:rPr>
        <w:t xml:space="preserve">There were no corrective actions to follow-up from the previous report. This audit has resulted in two identified areas of improvement relating to service delivery care plans and service provider availability and allocation of staff to cover the size and design of the facility.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needed.</w:t>
      </w:r>
    </w:p>
    <w:p w:rsidRPr="00A4268A">
      <w:pPr>
        <w:spacing w:before="240" w:line="276" w:lineRule="auto"/>
        <w:rPr>
          <w:rFonts w:eastAsia="Calibri"/>
        </w:rPr>
      </w:pPr>
      <w:r w:rsidRPr="00A4268A">
        <w:rPr>
          <w:rFonts w:eastAsia="Calibri"/>
        </w:rPr>
        <w:t>A complaints register is maintained with complaints resolved promptly and effectively. Feedback is provided to staff and quality improvements are initiated and implemented as needed.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included the scope, direction, goals, values and mission statement of the organisation.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Elizabeth R are assessed on admission by the multidisciplinary team. Assessments are within the required timeframes. Shift handovers, communication sheets and an ‘electronic message board’ guides continuity of care. </w:t>
      </w:r>
    </w:p>
    <w:p w:rsidRPr="00A4268A" w:rsidP="00621629">
      <w:pPr>
        <w:spacing w:before="240" w:line="276" w:lineRule="auto"/>
        <w:rPr>
          <w:rFonts w:eastAsia="Calibri"/>
        </w:rPr>
      </w:pPr>
      <w:r w:rsidRPr="00A4268A">
        <w:rPr>
          <w:rFonts w:eastAsia="Calibri"/>
        </w:rPr>
        <w:t xml:space="preserve">Care plans are individualised, and files reviewed demonstrated that generalised needs, goals, and outcomes are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provided by a recreation officer. The programme provides residents with a variety of individual and group activities and maintains their links with the community. A rental van was being used for outings at the time of audit, whilst the facility van is waiting replacement.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was a current compliance expiry date as per the building systems status report reviewed. Electrical equipment has been tested as required. There have been no changes to the facility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Elizabeth R has implemented policies and procedures that support the minimisation of restraint. No enablers and three restraints were in use at the time of the audit. Use of enablers is voluntary for the safety of residents in response to individual requests. Staff interviewed demonstrated a sound knowledge and understanding of the organisation’s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of aged care specific infections is undertaken, and data is analysed, trended and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11 complaints have been received over the past year and that actions taken, through to an agreed resolution, are documented and completed within the required timeframes. Action plans show any required follow up and improvements have been made where possible. The care home and village manager (CH&amp;VM) is responsible for complaints management and follow up. All staff interviewed confirmed a sound understanding of the complaint process and what actions are required. There have been two Health and Disability Commissioner’s (HDC) complaints received since the previous audit which have both been effectively closed out. Quality learnings and outcomes were fed back to staff and this was verified in the minutes of the quality and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understood the principles of open disclosure, which is supported by policies and procedures that meet the requirements of the Code of Health and Disability Services Consumers’ Rights (the Code). Staff also knew how to access interpreter services if required through the Taranaki District Health Board or from local sources.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at interview stated that they were kept informed about any significant changes to their/their relative’s health status or wellbeing. In addition to this, they were advised in a timely manner if any incidents or accidents occurred and/or if any urgent medical reviews were needed and the outcomes.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described annual and longer term objectives and the associated operational plans. A sample of monthly reports to the support office showed adequate information to monitor performance is reported including financial performance, emerging risks and staffing and/or any impending issues.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the care home &amp; village manager (CH&amp;VM) who is an enrolled nurse and has worked at this facility for twenty years and has been in the management role for six months.  Responsibilities and accountabilities are defined in a job description and individual employment agreement. The CH&amp;VM confirmed knowledge of the sector, regulatory and reporting requirements and maintains currency through attending TDHB aged care residential care meetings held at TDHB. The CH&amp;VM also completed the manager induction for Taranaki aged care services which covered contact persons available for TDHB gerontology clinical nurse specialist, ‘yellow envelope’ transfer systems, aged residential care responsibilities, section 31 notifications and other topics. There is also a leadership in aged care forum programme and regular meetings are held in the New Plymouth and/or Stratford region. Minutes of the meetings are maintained, and copies were accessible. The clinical services manager (CSM) has only been in the role for two weeks.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TDHB for rest home level care, hospital, respite, GP bed and long term chronic health (LTCH). On the day of audit there were twenty-one rest home level care residents, sixteen hospital level, no respite, GP or LTCH level care residents. Nineteen (19) beds are dual purpose beds. Elizabeth R has five independent boarders who reside in an external building close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falls, medication errors, resident behaviours causing concern, near misses, clinical incidents including infections and restraint minimisation and safe practice.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quality and staff meetings held monthly. Staff reported their involvement in quality and risk management activities through internal audit activities, and the quarterly facility health check completed by the CH&amp;VM. The annual satisfaction survey of residents, relatives and/or staff is undertaken from the organisation’s support office. For this last survey results and actions taken in response were followed-up; however, the organisation will be reviewing the methodology for completing the surveys due to minimal response rate from residents/families.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This is managed by the quality management team at the support office and any new policies/procedures are signed off by the regional operations manager. The service administrator is responsible for ensuring that any new or revised policies are put out for staff to view and when signed off ensures these are placed into the current system and any obsolete documents are filed and stored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CH&amp;VM described the processes for the identification, monitoring, review and reporting of risks and development of mitigation strategies. The manager is familiar with the Health and Safety at Work Act (2015) and has implemented requirements. The hazard identification and risk monitoring system was reviewed and all risks are categorised. The hazard register was sighted and was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regional quality manager monthly by the clinical services manager (CSM).</w:t>
            </w:r>
          </w:p>
          <w:p w:rsidR="00EB7645" w:rsidRPr="00BE00C7" w:rsidP="00BE00C7">
            <w:pPr>
              <w:pStyle w:val="OutcomeDescription"/>
              <w:spacing w:before="120" w:after="120"/>
              <w:rPr>
                <w:rFonts w:cs="Arial"/>
                <w:b w:val="0"/>
                <w:lang w:eastAsia="en-NZ"/>
              </w:rPr>
            </w:pPr>
            <w:r w:rsidRPr="00BE00C7">
              <w:rPr>
                <w:rFonts w:cs="Arial"/>
                <w:b w:val="0"/>
                <w:lang w:eastAsia="en-NZ"/>
              </w:rPr>
              <w:t>The CH&amp;VM described essential notification reporting requirements, including for pressure injuries. They advised there has been one Section 31 notification of a significant event made to HealthCERT since the previous audit, in relation to a fire service alarm call out caused by a faulty smoke detector. There have been no other external agency notifications.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A workbook is completed by staff relevant for the role to be undertaken. Staff reported that the orientation process prepared them well for their role. Staff records reviewed showed documentation of completed orientation.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A staff member from another service provider within the organisation is the designated internal assessor for the programme. There are 19 caregivers employed all of whom have completed level 3 (NZQA) and one caregiver has completed level 4 (NZQA). The activities officer has completed diversional therapy level 4. All caregivers have been offered the opportunity to complete level 4 and when they respond they will be enrolled.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and skill mix which is calculated from the organisation’s support office. On visual inspection the allocation of staff does not appropriately meet the identified needs and acuity of the residents (refer to 1.3.3.4). In addition to this, the design, size and layout of the two designated care wings does not appear to have been fully considered when providing adequate staff. The ‘red’ and ‘blue’ wings both have rest home and hospital level residents for staff to care for each shift. One wing has 17 residents and the other 19 residents. Care staff reported they worked as a team to complete the work allocated to them. Care staff are also responsible for covering the laundry during the day and afternoon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on-call service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a four-week roster cycle confirmed staff cover has been provided, with staff replaced in any unplanned absence. </w:t>
            </w:r>
          </w:p>
          <w:p w:rsidR="00EB7645" w:rsidRPr="00BE00C7" w:rsidP="00BE00C7">
            <w:pPr>
              <w:pStyle w:val="OutcomeDescription"/>
              <w:spacing w:before="120" w:after="120"/>
              <w:rPr>
                <w:rFonts w:cs="Arial"/>
                <w:b w:val="0"/>
                <w:lang w:eastAsia="en-NZ"/>
              </w:rPr>
            </w:pPr>
            <w:r w:rsidRPr="00BE00C7">
              <w:rPr>
                <w:rFonts w:cs="Arial"/>
                <w:b w:val="0"/>
                <w:lang w:eastAsia="en-NZ"/>
              </w:rPr>
              <w:t>At least one staff member on duty has a current first aid certificate and there is 24 hour a day, seven day a week (24/7) RN coverage in the facility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occurring at Elizabeth R on the day of audit. The staff member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self-administers an inhaler.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Elizabeth 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has been reviewed by a qualified dietitian on 15 January 2021.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audit was undertaken on 19 January 2020, by the Stratford District Council. Three areas requiring corrective actions were identified which were: a planned kitchen maintenance schedule was required, an acceptable defrosting method for food was to be implemented and evidence of confirmation of staff training on the foods control plan. All corrective actions have been addressed and are ready to be submitted to the council by 19 February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The areas of dissatisfaction around the tea meal by some residents is being addressed. Ten residents were asked following their lunch how the lunch was, nine expressed satisfaction, while one requested more salt. The salt was available for the resident to add as desired. Residents were seen to be given time to eat their meal in an unhurried fashion and those requiring assistance had this provided. There were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With the exceptions of that referred to in criterion 1.3.3.4, documentation, observations, and interviews verified the care provided to residents was consistent with their generalised needs, goals, and the plan of care. The attention to meeting a wide range of resident’s individualised needs was evident in all areas of service provision. Five of the six family members interviewed were complimentary of the care provided by Elizabeth R (the sixth family member is referenced in criterion 1.3.3). The NP interviewed, verified that medical input is sought in a timely manner, that medical orders are followed, and care is of a good standard. Care staff confirmed that care was provided as outlined in verbal handovers and RN direction. A range of equipment and resources was available at Elizabeth R, this was suited to the types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recreation officer.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activity programme that is meaningful to the residents. The resident’s activity needs are evaluated regularly and as part of the formal care plan review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included exercise sessions, walks, inter-rest home games, visiting entertainers, quiz sessions and daily news updates.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quarterly residents’ meetings and minutes indicated residents’ input is sought and responded to. Residents and family meetings are run by one of the two residents’ advocates, with the recreation officer taking the minutes. Concerns noted are dissatisfaction with evening meal and lost laundry. These concerns are being addressed by the CH&amp;VM. Meeting minutes demonstrated satisfaction with the activity programme. Residents interviewed confirmed they find the programme meets their needs. One family member made comment that when the recreation officer takes the village residents out, there are no activities provided during the recreation officer’s absence. The CH&amp;VM has addressed that concern by employing a person experienced and trained in activities to relieve the recreation officer when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Short-term care plans are consistently reviewed for infections, pain, and weight loss. Progress is evaluated as clinically indicated and according to the degree of risk noted during the assessment process.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systems status report evidences the compliance schedule anniversary as the 4 July 2021. The report is issued in lieu of a building warrant of fitness (Form 12). A building warrant of fitness was unable to be supplied and displayed due to Covid 19 Alert Level restrictions preventing one or more scheduled inspection and/or maintenance procedures of the compliance schedule from being carried out. All specified systems in the building are currently performing to the performance standards stated in the building’s compliance schedule.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Elizabeth R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(ICO) and the CSM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Elizabeth R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good understanding of the organisation’s policies and procedures, the role and the responsibilities involved. On the day of audit three residents were using a restraint and no enablers were in use. Enablers are the least restrictive and can be used voluntarily at the request of the resident. A similar process is followed for the use of enablers as is used for restraints.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81"/>
        <w:gridCol w:w="1280"/>
        <w:gridCol w:w="6976"/>
        <w:gridCol w:w="2357"/>
        <w:gridCol w:w="19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rosters were reviewed and discussed with the CH&amp;VM. There are two wings, one with 17 residents (12 rest home level care residents and five hospital level care), and one with 19 residents (10 hospital and nine rest home level care residents). Two care staff are allocated to these wings on the day shift with registered nurse oversight and the CSM is available Monday to Friday. On one wing, there is a split shift of a caregiver working 7am to 1pm and returning 4.30pm to 7.30pm (same staff member). On the other wing there is a staff member rostered to cover 3pm to 8pm. Two care staff are rostered on the afternoon shift and on the night duty. RN cover on afternoon and night is available. There is a staff member on duty who has completed first aid training on all shifts. Three family members made comments around staff shortages and staff being run off their feet. Three residents mentioned calls for assistance at times take a long time to be responded to.</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rosters reviewed and allocation of staff does not currently meet the needs of the residents. In addition to this the design, of the two designated wings and the acuity of the hospital level residents in each wing has not been considered adequately when allocating staff to cover and meet the individual needs of the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allocation of care staff is increased to appropriately meet the acuity and needs of all residents on all shifts, taking into consideration the design of the service and the additional allocation of responsibilities that the staff have to complete on the relevant shifts.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eight files, found five of the eight files had minimal nursing documentation that identified the nursing strategies required to manage the resident’s medical conditions and ensure continuity of care in a coordinated manner. This specifically related to residents with congestive heart failure, residents on anticoagulant therapy, a potential bowel obstruction, and non-insulin dependent diabetic. Concerns/actions are documented in progress notes; however, these are not consistently recorded on a short-term care plan or updated in the long-term care plan and a previous concern could be forgotten. This is a documentation issue as evidence was sighted of management strategies being carried out. Interview with the CSM verified the CSM was aware the documentation did not fully describe the care the resident required to ensure continuity of care in a coordinated manner. A plan was to be implemented to educate the RNs accordingly.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minimal documentation in care plans to describe the nursing strategies required to manage residents’ medical conditions and to ensure continuity of care could be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care plans fully reflect the residents care needs, to ensure continuity of care can be provided.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Elizabeth R</w:t>
    </w:r>
    <w:bookmarkEnd w:id="58"/>
    <w:r>
      <w:rPr>
        <w:rFonts w:cs="Arial"/>
        <w:sz w:val="16"/>
        <w:szCs w:val="20"/>
      </w:rPr>
      <w:tab/>
      <w:t xml:space="preserve">Date of Audit: </w:t>
    </w:r>
    <w:bookmarkStart w:id="59" w:name="AuditStartDate1"/>
    <w:r>
      <w:rPr>
        <w:rFonts w:cs="Arial"/>
        <w:sz w:val="16"/>
        <w:szCs w:val="20"/>
      </w:rPr>
      <w:t>4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