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Brujen Investment Trust - Kenderdine Park</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Brujen Investment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Kenderdine Park</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January 2021</w:t>
      </w:r>
      <w:bookmarkEnd w:id="7"/>
      <w:r w:rsidRPr="009418D4">
        <w:rPr>
          <w:rFonts w:cs="Arial"/>
        </w:rPr>
        <w:tab/>
        <w:t xml:space="preserve">End date: </w:t>
      </w:r>
      <w:bookmarkStart w:id="8" w:name="AuditEndDate"/>
      <w:r w:rsidR="00A4268A">
        <w:rPr>
          <w:rFonts w:cs="Arial"/>
        </w:rPr>
        <w:t>27 January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Kenderdine Park provides rest home and hospital level care for up to 35 residents. The service is operated by the Brujen Investment Trust. The facility is family owned, operated and managed by family members. Residents and families spoke positively about the care provided.</w:t>
      </w:r>
    </w:p>
    <w:p w:rsidRPr="00A4268A">
      <w:pPr>
        <w:spacing w:before="240" w:line="276" w:lineRule="auto"/>
        <w:rPr>
          <w:rFonts w:eastAsia="Calibri"/>
        </w:rPr>
      </w:pPr>
      <w:r w:rsidRPr="00A4268A">
        <w:rPr>
          <w:rFonts w:eastAsia="Calibri"/>
        </w:rPr>
        <w:t>This surveillance audit was conducted against the Health and Disability Service Standards. The audit process included review of policies and procedures, review of residents’ and staff files, observations, and interviews with residents, family/whānau, management, staff and a general practitioner.</w:t>
      </w:r>
    </w:p>
    <w:p w:rsidRPr="00A4268A">
      <w:pPr>
        <w:spacing w:before="240" w:line="276" w:lineRule="auto"/>
        <w:rPr>
          <w:rFonts w:eastAsia="Calibri"/>
        </w:rPr>
      </w:pPr>
      <w:r w:rsidRPr="00A4268A">
        <w:rPr>
          <w:rFonts w:eastAsia="Calibri"/>
        </w:rPr>
        <w:t>There were no areas requiring improvement from the previous audit and no new requirements from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Effective communication to residents and their family members/friends occurs and interpreter service can be accessed as required.</w:t>
      </w:r>
    </w:p>
    <w:p w:rsidRPr="00A4268A">
      <w:pPr>
        <w:spacing w:before="240" w:line="276" w:lineRule="auto"/>
        <w:rPr>
          <w:rFonts w:eastAsia="Calibri"/>
        </w:rPr>
      </w:pPr>
      <w:r w:rsidRPr="00A4268A">
        <w:rPr>
          <w:rFonts w:eastAsia="Calibri"/>
        </w:rPr>
        <w:t>A complaints register is maintained with complaints resolved promptly and effectively. There have been no complaint investigations by an external agency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Brujen Holdings trading as Brujen Investment Trust is the governing body and is responsible for the services provided. A business plan documents a vision, direction and goals. Systems are in place for monitoring the services provided. </w:t>
      </w:r>
    </w:p>
    <w:p w:rsidRPr="00A4268A">
      <w:pPr>
        <w:spacing w:before="240" w:line="276" w:lineRule="auto"/>
        <w:rPr>
          <w:rFonts w:eastAsia="Calibri"/>
        </w:rPr>
      </w:pPr>
      <w:r w:rsidRPr="00A4268A">
        <w:rPr>
          <w:rFonts w:eastAsia="Calibri"/>
        </w:rPr>
        <w:t>The owner/chief executive officer operates the business and a family member is in the position of facility manager. The facility manager is experienced and has been in the position for 14 years. The clinical nurse manager resigned the day before the audit and two senior registered nurses are in an acting capacity until the position is filled.</w:t>
      </w:r>
    </w:p>
    <w:p w:rsidRPr="00A4268A">
      <w:pPr>
        <w:spacing w:before="240" w:line="276" w:lineRule="auto"/>
        <w:rPr>
          <w:rFonts w:eastAsia="Calibri"/>
        </w:rPr>
      </w:pPr>
      <w:r w:rsidRPr="00A4268A">
        <w:rPr>
          <w:rFonts w:eastAsia="Calibri"/>
        </w:rPr>
        <w:t>Quality and risk management systems are in place. There is an internal audit programme. Adverse events are documented on accident/incident forms.  Quality data is being collated, analysed and evidenced corrective action plans are developed and implemented. Staff and resident meetings are held.</w:t>
      </w:r>
    </w:p>
    <w:p w:rsidRPr="00A4268A">
      <w:pPr>
        <w:spacing w:before="240" w:line="276" w:lineRule="auto"/>
        <w:rPr>
          <w:rFonts w:eastAsia="Calibri"/>
        </w:rPr>
      </w:pPr>
      <w:r w:rsidRPr="00A4268A">
        <w:rPr>
          <w:rFonts w:eastAsia="Calibri"/>
        </w:rPr>
        <w:t>Policies and procedures on human resources management are in place and these processes are followed. An in-service education programme is provided and staff performance is monitored. Care staff are encouraged to complete the New Zealand Qualifications Authority unit standards.</w:t>
      </w:r>
    </w:p>
    <w:p w:rsidRPr="00A4268A">
      <w:pPr>
        <w:spacing w:before="240" w:line="276" w:lineRule="auto"/>
        <w:rPr>
          <w:rFonts w:eastAsia="Calibri"/>
        </w:rPr>
      </w:pPr>
      <w:r w:rsidRPr="00A4268A">
        <w:rPr>
          <w:rFonts w:eastAsia="Calibri"/>
        </w:rPr>
        <w:t>There is a documented rationale for determining staffing levels and skill mixes to provide safe service delivery that is based on best practice. The acting clinical nurse managers/ registered nurses are on call after hours.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is coordinated in a manner that promotes continuity in service delivery and promotes a team approach to care delivery.  There are policies in place to support assessment, planning, provision of care, evaluation and transfers for residents to safely meet the needs of the residents and contractual requirements. Residents have interRAI assessments completed and individualised care plans related to this programme.  All care plans are evaluated at least six monthly.  </w:t>
      </w:r>
    </w:p>
    <w:p w:rsidRPr="00A4268A" w:rsidP="00621629">
      <w:pPr>
        <w:spacing w:before="240" w:line="276" w:lineRule="auto"/>
        <w:rPr>
          <w:rFonts w:eastAsia="Calibri"/>
        </w:rPr>
      </w:pPr>
      <w:r w:rsidRPr="00A4268A">
        <w:rPr>
          <w:rFonts w:eastAsia="Calibri"/>
        </w:rPr>
        <w:t>The service provides planned activities meeting the needs of the residents as individuals and in group settings.</w:t>
      </w:r>
    </w:p>
    <w:p w:rsidRPr="00A4268A" w:rsidP="00621629">
      <w:pPr>
        <w:spacing w:before="240" w:line="276" w:lineRule="auto"/>
        <w:rPr>
          <w:rFonts w:eastAsia="Calibri"/>
        </w:rPr>
      </w:pPr>
      <w:r w:rsidRPr="00A4268A">
        <w:rPr>
          <w:rFonts w:eastAsia="Calibri"/>
        </w:rPr>
        <w:t xml:space="preserve">Medication policy identifies current best practice for medication management.  Staff who administer medication have completed a medication competency in the last 12 months.  </w:t>
      </w:r>
    </w:p>
    <w:p w:rsidRPr="00A4268A" w:rsidP="00621629">
      <w:pPr>
        <w:spacing w:before="240" w:line="276" w:lineRule="auto"/>
        <w:rPr>
          <w:rFonts w:eastAsia="Calibri"/>
        </w:rPr>
      </w:pPr>
      <w:r w:rsidRPr="00A4268A">
        <w:rPr>
          <w:rFonts w:eastAsia="Calibri"/>
        </w:rPr>
        <w:t xml:space="preserve">The onsite kitchen provides and caters for residents with food available 24 hours of the day and specific dietary likes and dislikes accommodated. The service has a four-week rotating menu which has been approved by a registered dietitian. Residents’ nutritional requirements are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warrant of fitness is displayed at the main entrance to the facility. There have been no structural alterations since the previous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clear policies and procedures that meet the requirements of the restraint minimisation and safe practice standard. There were residents using enablers and no residents using restraints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policy identifies current best practice for infection control management.  Infections data are collated monthly by the clinical nurse manager.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84"/>
        <w:gridCol w:w="1280"/>
        <w:gridCol w:w="987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is provided to residents and families on admission and there is complaints information available at the main entrance.  A complaint form is also provided to residents in a folder kept in each room. Residents and families stated that communication about anything they are concerned about is actioned immediately. </w:t>
            </w:r>
          </w:p>
          <w:p w:rsidR="00EB7645" w:rsidRPr="00BE00C7" w:rsidP="00BE00C7">
            <w:pPr>
              <w:pStyle w:val="OutcomeDescription"/>
              <w:spacing w:before="120" w:after="120"/>
              <w:rPr>
                <w:rFonts w:cs="Arial"/>
                <w:b w:val="0"/>
                <w:lang w:eastAsia="en-NZ"/>
              </w:rPr>
            </w:pPr>
            <w:r w:rsidRPr="00BE00C7">
              <w:rPr>
                <w:rFonts w:cs="Arial"/>
                <w:b w:val="0"/>
                <w:lang w:eastAsia="en-NZ"/>
              </w:rPr>
              <w:t>Review of the register and interview of the CEO and FM evidenced three complaints have been received in the past 12 months. A fourth complaint logged concerned a complaint by the facility to the DHB relating to a new admission to the facility. Review of documentation evidenced complaints concerning the facility are managed well and the timeframes meet Right 10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 investigations undertaken by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stated they are kept well informed about any changes to their/their relative’s status and outcomes of regular and any urgent medical reviews. The resident/family survey for 2020 and resident’s files confirmed this. Staff understood the principles of open disclosure, which is supported by policy and procedures that meet the requirements of the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District Health Board (DHB) when required. The Chief executive officer (CEO) and facility manager (FM) advised residents’ family members and staff act as interpreters, where appropriate. There is a wide range of different cultures both staff and residents who have English as their second language.  Effective communication is managed well and an example of this was observed concerning a resident who does not speak English. In the resident’s room is a comprehensive list of phrases in the resident’s first language and the translation to English to help care staff communicate with this resident. Staff stated this works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Brujen Holdings trading as Brujen Investment Trust is responsible for the services provided. A business plan documents a philosophy, vision, direction and goals.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a FM who is an experienced manager and has been in the role for 14 years. The owner/CEO manages the business part of the service and the FM the day to day running of the service. The CEO stated they are on site at least twice a week and communicates with the FM at least daily. The CEO also fills in for the FM when the FM is absent. Annual meeting minutes of the senior management team were reviewed. The reviews and reports include but not limited to review of the years goals and objectives set out in the business plan, infection prevention and control, incident/accidents, clinical indicators, complaints and restraint. </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(CNM) left employment the day before this audit giving management short notice between resigning and leaving employment. The CEO stated until a new CNM is employed which is expected to be within a short timeframe, two senior RNs have been appointed in an acting capacity. During the audit the CEO notified the appropriate person in the local DHB and HealthCERT of the CNM resignation and the temporary arrangements in place.</w:t>
            </w:r>
          </w:p>
          <w:p w:rsidR="00EB7645" w:rsidRPr="00BE00C7" w:rsidP="00BE00C7">
            <w:pPr>
              <w:pStyle w:val="OutcomeDescription"/>
              <w:spacing w:before="120" w:after="120"/>
              <w:rPr>
                <w:rFonts w:cs="Arial"/>
                <w:b w:val="0"/>
                <w:lang w:eastAsia="en-NZ"/>
              </w:rPr>
            </w:pPr>
            <w:r w:rsidRPr="00BE00C7">
              <w:rPr>
                <w:rFonts w:cs="Arial"/>
                <w:b w:val="0"/>
                <w:lang w:eastAsia="en-NZ"/>
              </w:rPr>
              <w:t>The service’s philosophy is in an understandable form and is available to residents and their family/representative or other services involved in referring residents to the service.</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accommodation for up to 35 residents. On the day of this audit there were 30 residents.  Eleven hospital level and fifteen rest home residents are under the age-related residential care contract. One resident is under an individual client contract, two rest home and one hospital level residents are under a long-term chronic health contract. The service also holds a contract for respite care with the DHB and a residential care no-aged contract with the MoH.</w:t>
            </w:r>
          </w:p>
          <w:p w:rsidR="00EB7645" w:rsidRPr="00BE00C7" w:rsidP="00BE00C7">
            <w:pPr>
              <w:pStyle w:val="OutcomeDescription"/>
              <w:spacing w:before="120" w:after="120"/>
              <w:rPr>
                <w:rFonts w:cs="Arial"/>
                <w:b w:val="0"/>
                <w:lang w:eastAsia="en-NZ"/>
              </w:rPr>
            </w:pPr>
            <w:r w:rsidRPr="00BE00C7">
              <w:rPr>
                <w:rFonts w:cs="Arial"/>
                <w:b w:val="0"/>
                <w:lang w:eastAsia="en-NZ"/>
              </w:rPr>
              <w:t>Thirty beds have been approved as dual purpose and five beds are designated rest home only.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management system that guides the quality programme. Risk management activities are appropriate for the size and scope of the organisation. There was good evidence of the management of quality data. Quality data is collected, collated, analysed to identify any trends. Corrective action plans are developed in response to identified issues in a range of ways, including audits, incident/accident reports, complaints, surveys and deficits identified from meetings. Quality data is graphed month by month by the FM and is available for staff. Staff stated they discuss trends and corrective actions at the staff meetings and at handover. The FM demonstrated sound knowledge relating to quality and risk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for 2020 were reviewed and responses demonstrated a high level of satisfaction and were complementary of the care provided. Resident meetings minutes evidenced these are held on a regular basis. Quality and risk management issues are reported and discussed at management level and at the staff meetings. Review of the meeting minutes and interview of staff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fully imbedded and are relevant to the scope and complexity of the service, reflected current accepted good practice and reference legislative requirements. Policies and procedures are reviewed at least yearly and were current. New / reviewed policies are available for staff to read and sign off once read. Staff confirmed the policies and procedures provided appropriate guidance for service delivery and they were advised of new policies / revised policies. Obsolete documents are archived.</w:t>
            </w:r>
          </w:p>
          <w:p w:rsidR="00EB7645" w:rsidRPr="00BE00C7" w:rsidP="00BE00C7">
            <w:pPr>
              <w:pStyle w:val="OutcomeDescription"/>
              <w:spacing w:before="120" w:after="120"/>
              <w:rPr>
                <w:rFonts w:cs="Arial"/>
                <w:b w:val="0"/>
                <w:lang w:eastAsia="en-NZ"/>
              </w:rPr>
            </w:pPr>
            <w:r w:rsidRPr="00BE00C7">
              <w:rPr>
                <w:rFonts w:cs="Arial"/>
                <w:b w:val="0"/>
                <w:lang w:eastAsia="en-NZ"/>
              </w:rPr>
              <w:t>A risk register forms part of the quality plan and includes risks relating to both the organisation and the services.</w:t>
            </w:r>
          </w:p>
          <w:p w:rsidR="00EB7645" w:rsidRPr="00BE00C7" w:rsidP="00BE00C7">
            <w:pPr>
              <w:pStyle w:val="OutcomeDescription"/>
              <w:spacing w:before="120" w:after="120"/>
              <w:rPr>
                <w:rFonts w:cs="Arial"/>
                <w:b w:val="0"/>
                <w:lang w:eastAsia="en-NZ"/>
              </w:rPr>
            </w:pPr>
            <w:r w:rsidRPr="00BE00C7">
              <w:rPr>
                <w:rFonts w:cs="Arial"/>
                <w:b w:val="0"/>
                <w:lang w:eastAsia="en-NZ"/>
              </w:rPr>
              <w:t>The health and safety policy covers all aspects of health and safety management.  Actual and potential hazards are identified and documented in the hazard register. The register identifies hazards and showed the actions put in place to minimise or eliminate risks. Newly found hazards are communicated to staff. Hazards and safety issues are discussed at staff meetings. The CEO and FM demonstrated a sound knowledge of health and safety. Staff confirmed they understood and implemented documented hazard identification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incident/accident form. All forms are reviewed by the RN on duty and the family contacted as appropriate. The FM has overview of all completed forms. Incidents/accidents are investigated, action plans developed and actions followed-up in a timely manner.  Adverse event data is collated and analysed by the FM and trends shared with staff through staff meetings and handover. Graphs are generated and give good information for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CEO and FM stated there have been no essential notifications to external agencies since the last audit apart from the change to the CNM position. Both the CEO and FM are aware of essential notification reporting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human resources management are in place. Staff files include job descriptions which outline accountability, responsibilities and authority, employment agreements, references, completed orientation, competency assessments, police and visa vetting and training certificates.</w:t>
            </w:r>
          </w:p>
          <w:p w:rsidR="00EB7645" w:rsidRPr="00BE00C7" w:rsidP="00BE00C7">
            <w:pPr>
              <w:pStyle w:val="OutcomeDescription"/>
              <w:spacing w:before="120" w:after="120"/>
              <w:rPr>
                <w:rFonts w:cs="Arial"/>
                <w:b w:val="0"/>
                <w:lang w:eastAsia="en-NZ"/>
              </w:rPr>
            </w:pPr>
            <w:r w:rsidRPr="00BE00C7">
              <w:rPr>
                <w:rFonts w:cs="Arial"/>
                <w:b w:val="0"/>
                <w:lang w:eastAsia="en-NZ"/>
              </w:rPr>
              <w:t>New staff are required to complete the induction programme. The programme is specific to the position. Staff are ‘buddied’ and supported by an experienced staff member. Staff performance is reviewed at the end of this period and yearly thereafter unless there are performance issues. Staff performance appraisals were current.  Annual practising certificates were current for all staff and contractors who required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The education programme is the responsibility of the FM. Records are held for staff attendance at training sessions. In-service education is provided for staff and there was documented evidenced that this was provided at least monthly. During the Covid-19 lock downs training was interrupted and has since resumed. Clinical staff have attended the palliative care programmes.  External educators provide some sessions and the RNs also undertake education sessions online provided by the local DHB. Staff have current first aid certificates. An electronic register records competencies, annual appraisals and practicing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competencies for staff responsible for medicine management were current and some health care assistants have a current ‘second checker’ competency for controlled drugs.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Careerforce education programme is also available for health care assistants (HCA) to complete and staff are encouraged to do so. Of the 13 health care assistants 10 have level 4 and three have level 3 attainment. </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induction,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 to provide safe service delivery including acuity, skill mix of experienced staff and less experienced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 cover is provided 24 hours, seven days a week. Rosters reviewed showed a four on four off rotation. The CEO advised staff who work short shifts or who are off duty are asked to work more hours if needed. The CEO reported they do not ever need to use bureau staff. The FM reported the rosters are adjusted to meet the changing needs of residents, resident acuity including occupancy and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works full time Monday to Friday. Two senior RNs are currently in an acting role until a new CNM is appointed. Six RNs are currently employed and have between seven months and three and half year’s experience working in the aged care sector. Two of the six RNs are interRAI trained. Review of the rosters evidenced until a CNM is appointed, one RN and three HCAs are on the morning shift, one RN and two HCAs on the afternoon shift and one RN and one HCA on at night. The HCA pool is stable, and the majority of HCAs have been with the organisation for many years. The activities coordinator works Monday to Friday 8.30am to 3pm. The CEO/owner is on call for non-clinical matters. The acting CNMs are on call on the days they are rostered on duty. </w:t>
            </w:r>
          </w:p>
          <w:p w:rsidR="00EB7645" w:rsidRPr="00BE00C7" w:rsidP="00BE00C7">
            <w:pPr>
              <w:pStyle w:val="OutcomeDescription"/>
              <w:spacing w:before="120" w:after="120"/>
              <w:rPr>
                <w:rFonts w:cs="Arial"/>
                <w:b w:val="0"/>
                <w:lang w:eastAsia="en-NZ"/>
              </w:rPr>
            </w:pPr>
            <w:r w:rsidRPr="00BE00C7">
              <w:rPr>
                <w:rFonts w:cs="Arial"/>
                <w:b w:val="0"/>
                <w:lang w:eastAsia="en-NZ"/>
              </w:rPr>
              <w:t>There are dedicated cleaning and laundry staff. The FM is responsible for general maintenance. The kitchen has two cooks and a kitchen hand.</w:t>
            </w:r>
          </w:p>
          <w:p w:rsidR="00EB7645" w:rsidRPr="00BE00C7" w:rsidP="00BE00C7">
            <w:pPr>
              <w:pStyle w:val="OutcomeDescription"/>
              <w:spacing w:before="120" w:after="120"/>
              <w:rPr>
                <w:rFonts w:cs="Arial"/>
                <w:b w:val="0"/>
                <w:lang w:eastAsia="en-NZ"/>
              </w:rPr>
            </w:pPr>
            <w:r w:rsidRPr="00BE00C7">
              <w:rPr>
                <w:rFonts w:cs="Arial"/>
                <w:b w:val="0"/>
                <w:lang w:eastAsia="en-NZ"/>
              </w:rPr>
              <w:t>Residents, families and staff interviewed reported satisfaction with the staffing levels. Staff reported they are able to get through their work in a timely manner. Observations during the audit confirmed staffing levels are adequate.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as required.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were reviewed and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was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used and reviewed annually.  This document was last approved and signed by the GP on the 12 May 2020.  The registered nurse interviewed stated that prior to a standing order medication been administered a discussion is had with the GP who will then if appropriate prescribe the medication in the electronic medication system.   Vaccines are not stored on site.</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medications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and is in line with recognised nutritional guidelines for older people.  The menu follows summer and winter patterns and has been reviewed by a qualified dietitian within the last two years.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Kenderdine Park was audited by the Ministry of Primary Industry on the 17 December 2020.  The report identified two corrective actions to do with the visual cleanliness of the kitchen, At time of audit the kitchen was observed to be clean and the cleaning schedule was maintained</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including for high-risk items, are monitored and recorded as part of the plan using an electronic database.</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including cultural and spiritual food preferences.  Any special diets and modified texture requirements are made known to kitchen staff and accommodated in the daily meal plan.  The kitchen provides two menu plans which support residents with specific culture food requirements.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families/whānau interviews, satisfaction surveys and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reported that he is available after hours and when contacted by staff, information is provided in a way that identifies that Kenderdine Park is providing a ‘comprehensive level of care.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activities co-ordinator who supports the residents Monday to Friday 8.30 am to 3.00 pm.  Residents are supported by activities that are easily assessed by staff throughout the weekend.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daily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 residents’ goals, ordinary patterns of life and include normal community activities. Individual, group activities and regular events are offered.  There are three lounge areas as well as individuals’ bedrooms where residents have the option of watching TV in their own language.  The activities calendar emphasises and highlights residents’ cultural beliefs and celebrations that occur regularly at Kenderdine Park.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families/whanau are involved in evaluating and improving the programme through day-to-day discussions with residents and resident meetings.   Residents interviewed confirmed they find the programme interactive and interesting.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infections, wounds and post-surgery.  When necessary, and for ongoing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displayed at the main entrance to the facility that expires on the 30 November 2021. There have been no structural alterations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 respiratory tract infection, skin, wound, eye, gastro enteritis and other infections.  The IPC coordinator reviews and all reported infections, and these are documented.  New infections and any required management plan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Trends are identified from the past year and this is reported by the clinical nurse manager and reported to the facility manager and owner.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had a total of 26 infections reported for 2020.  Residents’ files reviewed highlighted short term and long-term care planning to reduce and minimise the risk of infection.   Health care assistants interviewed demonstrated knowledge of residents who have a higher risk of infections and the interventions required.  </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measures recommended by the ministry of health for the management of COVID-19 pandemic were implemented. Learnings from the Covid-19 pandemic have been incorporated into practice, with additional staff education implemented. There has been no infection outbreak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and safe practice policy includes a definition, assessment and evaluation details and complies with the requirements of the standard. The service has a restraint free philosophy. There were three residents using an enabler at the time of audit. Equipment is used, such has low beds so that restraint is not required. Staff interviewed demonstrated sound knowledge of the difference between a restraint and an enabler and the process should a resident request an enabler. Staff have received on-going education relating to challenging behaviours, enablers and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Brujen Investment Trust - Kenderdine Park</w:t>
    </w:r>
    <w:bookmarkEnd w:id="58"/>
    <w:r>
      <w:rPr>
        <w:rFonts w:cs="Arial"/>
        <w:sz w:val="16"/>
        <w:szCs w:val="20"/>
      </w:rPr>
      <w:tab/>
      <w:t xml:space="preserve">Date of Audit: </w:t>
    </w:r>
    <w:bookmarkStart w:id="59" w:name="AuditStartDate1"/>
    <w:r>
      <w:rPr>
        <w:rFonts w:cs="Arial"/>
        <w:sz w:val="16"/>
        <w:szCs w:val="20"/>
      </w:rPr>
      <w:t>27 January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