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Cashmere View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Cashmere View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November 2020</w:t>
      </w:r>
      <w:bookmarkEnd w:id="7"/>
      <w:r w:rsidRPr="009418D4">
        <w:rPr>
          <w:rFonts w:cs="Arial"/>
        </w:rPr>
        <w:tab/>
        <w:t xml:space="preserve">End date: </w:t>
      </w:r>
      <w:bookmarkStart w:id="8" w:name="AuditEndDate"/>
      <w:r w:rsidR="00A4268A">
        <w:rPr>
          <w:rFonts w:cs="Arial"/>
        </w:rPr>
        <w:t>20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Cashmere View is a Bupa facility.  The service provides rest home and hospital (medical and geriatric) and psychogeriatric level care for up to 103 residents.  Occupancy on the day of audit was 95 residents.</w:t>
      </w:r>
    </w:p>
    <w:p w:rsidRPr="00A4268A">
      <w:pPr>
        <w:spacing w:before="240" w:line="276" w:lineRule="auto"/>
        <w:rPr>
          <w:rFonts w:eastAsia="Calibri"/>
        </w:rPr>
      </w:pPr>
      <w:r w:rsidRPr="00A4268A">
        <w:rPr>
          <w:rFonts w:eastAsia="Calibri"/>
        </w:rPr>
        <w:t>This surveillance audit was conducted against a sub-set of the relevant Health and Disability Standards and the contract with the district health board.  The audit process included the review of policies and procedures, the review of resident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is managed by a care home manager who has been in the role for three years.  The care home manager is supported by a clinical manager who has also been in the role for three years.  The management team is supported by the wider Bupa management team, which includes an operations manager.  The residents and relatives interviewed spoke positively about the care and support provided. </w:t>
      </w:r>
    </w:p>
    <w:p w:rsidRPr="00A4268A">
      <w:pPr>
        <w:spacing w:before="240" w:line="276" w:lineRule="auto"/>
        <w:rPr>
          <w:rFonts w:eastAsia="Calibri"/>
        </w:rPr>
      </w:pPr>
      <w:r w:rsidRPr="00A4268A">
        <w:rPr>
          <w:rFonts w:eastAsia="Calibri"/>
        </w:rPr>
        <w:t>The service has fully met the sub-set of standards reviewed.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The rights of the resident and/or their family to make a complaint is understood, respected and upheld by the service.  Complaints processes are implemented, and complaints and concerns are actively managed.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care home manager and clinical manager are responsible for the day-to-day operations of the facility.  They are supported by two-unit coordinators/registered nurses.  Goals are documented for the service with evidence of regular reviews.  </w:t>
      </w:r>
    </w:p>
    <w:p w:rsidRPr="00A4268A">
      <w:pPr>
        <w:spacing w:before="240" w:line="276" w:lineRule="auto"/>
        <w:rPr>
          <w:rFonts w:eastAsia="Calibri"/>
        </w:rPr>
      </w:pPr>
      <w:r w:rsidRPr="00A4268A">
        <w:rPr>
          <w:rFonts w:eastAsia="Calibri"/>
        </w:rPr>
        <w:t xml:space="preserve">Cashmere View is implementing the Bupa organisational quality and risk management system that incorporates the provision of clinical care.  Key components of the quality management system link to staff meetings to keep staff informed.  Quality and risk performance are reported across the facility meetings and to the organisation's management team.  Interviews with staff and review of meeting minutes reflect a culture of quality improvement.  An annual resident/relative satisfaction survey is completed and there are regular resident/relative newsletters.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that is specific to the role and responsibilities of the position.  Ongoing education and training for staff is being implemented.  </w:t>
      </w:r>
    </w:p>
    <w:p w:rsidRPr="00A4268A">
      <w:pPr>
        <w:spacing w:before="240" w:line="276" w:lineRule="auto"/>
        <w:rPr>
          <w:rFonts w:eastAsia="Calibri"/>
        </w:rPr>
      </w:pPr>
      <w:r w:rsidRPr="00A4268A">
        <w:rPr>
          <w:rFonts w:eastAsia="Calibri"/>
        </w:rPr>
        <w:t xml:space="preserve">The staffing levels meet contractual requirements.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personalised, and goal orientated.  Care plans are reviewed every three to six months or earlier if required, with input from the resident/family as appropriate.  Files sampled identified integration of allied health and a team approach is evident in the overall resident files.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residents.  The programme encourages the maintenance of community links.  There are regular entertainers,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senior caregivers who administer medications have an annual competency assessment and receive annual education.  Medication charts are reviewed three-monthly by the general practitioner.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accommodated.  All meals and baking are cooked on site.  This includes consideration of any particular dietary preferences or needs.  There is a four-week rotational menu that is reviewed by a dietitian.  Nutritional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building warrant of fitness.  Fire equipment is checked by an external provider.  Reactive and preventative maintenance occurs with a 52-week planned maintenance programme in place.  </w:t>
      </w:r>
    </w:p>
    <w:p w:rsidRPr="00A4268A">
      <w:pPr>
        <w:spacing w:before="240" w:line="276" w:lineRule="auto"/>
        <w:rPr>
          <w:rFonts w:eastAsia="Calibri"/>
        </w:rPr>
      </w:pPr>
      <w:r w:rsidRPr="00A4268A">
        <w:rPr>
          <w:rFonts w:eastAsia="Calibri"/>
        </w:rPr>
        <w:t>Residents were observed moving freely around the areas with mobility aids where required.  The external areas and gardens are well maintained.</w:t>
      </w:r>
    </w:p>
    <w:p w:rsidRPr="00A4268A">
      <w:pPr>
        <w:spacing w:before="240" w:line="276" w:lineRule="auto"/>
        <w:rPr>
          <w:rFonts w:eastAsia="Calibri"/>
        </w:rPr>
      </w:pPr>
      <w:r w:rsidRPr="00A4268A">
        <w:rPr>
          <w:rFonts w:eastAsia="Calibri"/>
        </w:rPr>
        <w:t>At the time of the audit, building renovations were underway in the hospital wing, enhancing internal spaces and outdoor safety for residents.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At the time of audit, there were four residents using a restraint and no residents using an enabler.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 dedicated infection control nurse who has a role description with clearly defined guidelines.  Systems in place are appropriate to the size and complexity of the facility.  Effective monitoring is the responsibility of the infection control officer.  This includes audits of the facility, hand hygiene and surveillance of infection control events and infections.  Surveillance data is available to all staff.  The outbreaks in 2020 have been well managed.  Covid19 policies and procedures have been implemented and wellness declarations continue to be completed.  Adequate supplies of personal protective equipment were sighted.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complaints, both verbal and written, by using an electronic risk management register (Riskman).  Documentation, including follow-up letters and resolution, demonstrates that complaints are being managed in accordance with guidelines set by the Health and Disability Commissioner (HDC).  Discussions with residents and relatives confirmed they were provided with information on complaints.  </w:t>
            </w:r>
          </w:p>
          <w:p w:rsidR="00EB7645" w:rsidRPr="00BE00C7" w:rsidP="00BE00C7">
            <w:pPr>
              <w:pStyle w:val="OutcomeDescription"/>
              <w:spacing w:before="120" w:after="120"/>
              <w:rPr>
                <w:rFonts w:cs="Arial"/>
                <w:b w:val="0"/>
                <w:lang w:eastAsia="en-NZ"/>
              </w:rPr>
            </w:pPr>
            <w:r w:rsidRPr="00BE00C7">
              <w:rPr>
                <w:rFonts w:cs="Arial"/>
                <w:b w:val="0"/>
                <w:lang w:eastAsia="en-NZ"/>
              </w:rPr>
              <w:t>Complaints forms are in a visible location at the entrance to the facility.  Three complaints have been received in 2020 (year to date).  All three complaints were reviewed with evidence of appropriate follow-up actions taken.  Documentation reviewed reflected the service is proactive in addressing complaints.  Feedback is provided to staff and toolbox (impromptu) talks are scheduled where indicated.  Links to the Bupa operations manager, the Bupa customer relations office. Health and Disability Advocacy and HDC are provided to the complainant in the event that the complainant is not satisfied with the outcome of their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Fifteen accident/incident forms reviewed identified that family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The information pack is available in large print and is read to residents who require assistance.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Cashmere View provides rest home, hospital (geriatric and medical) and psychogeriatric (PG) level care for up to 103 residents.  Occupancy on the day of audit was 95 residents.  There were 44 residents across the two PG units (full capacity).  There were 8 rest home level and 43 hospital level residents in the remaining two hospital and rest home units.  One unit (Ashgrove) is a dual-purpose unit with 29 beds approved for either rest home or hospital level of care.  The second unit (Pioneer) is hospital level only.  All residents were on the aged related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The Bupa organisation has documented vision and values statements that are shared with staff and are displayed.  There is an overall Bupa strategic plan and risk management plan.  Additionally, Cashmere View has identified a specific quality goal around full vaccination uptake (2020).  Bupa health and safety goals are also identified and updated each year.  These goals are regularly reviewed and are shared with staff in their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at Cashmere View has been in the role for three years after previously being in the clinical manager role.  The care home manager is supported by a clinical manager who oversees clinical care.  The clinical manager has been in her position for three years.  The management team is supported by the wider Bupa management team, which includes an operations manager.  Two-unit coordinators (one PG, one rest home/hospital) support the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at least eight hours annually of professional development activities related to managing a hospital.  They attend annual Bupa forums and regional forums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programmes are well-established.  Interviews with the managers (one care home manager, one clinical manager) and staff (two unit coordinators/registered nurses (RNs), six staff RNs (AM and PM shifts), four caregivers who work across the four units, four activities staff (two rest home/hospital; two PG), one maintenance staff, one cook) reflected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 falls, infection rates, complaints received, restraint use, pressure areas, wounds, and medication errors.  An annual internal audit schedule was sighted for the service, with evidence of internal audits occurring as per the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data are discussed in staff meetings and posted in the staff room.  Corrective actions are implemented when service shortfalls are identified and signed off when completed.  A monthly report summarises the corrective actions.  Two corrective actions discussed with the care home manager for 2020 have included building renovations in the hospital wing and improving communication with families regarding residents’ activities.  Falls prevention strategies are in place including intentional rounding, sensor mats, post falls reviews, regular toileting and individual interventions.  A physiotherapist assesses all new admissions and residents who are experiencing falls.  A physiotherapy assistant assists with mobility programmes prescribed by the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Cashmere View received the Bupa Care Home of the Year award for 2020 (out of a total of 48 care homes).  An annual satisfaction survey is completed. The 2019 results demonstrated an 90% positive outcome (overall rating of quality of care) with corrective actions implemented where opportunities for improvements were identified.  The 2020 satisfaction survey has recently been completed at the time of the audit and the care home manager was in the process of collating responses.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There is a health and safety officer (maintenance person) who is supported by a team of health and safety representatives.  The health and safety team meet monthly.  Staff undergo annual health and safety training, which begins during their orientation.  Contractors are required to be inducted into the facility by the health and safety officer and sign a health and safety information sheet when this has been completed.  The hazard register is reviewed regularly.  A renovation project that was underway during the audit reflected evidence of adherence to health and safety controls including restricting access to the building site.  Hazard signage is visible and posted in multiple locations.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electronically for each incident/accident, with immediate action(s) noted and any follow-up action(s) required.  Incident/accident data is linked to the organisation's quality and risk management programme.  All incidents are risk rated.  Resident incidents logged as high risk (severity assessment code (SAC) of three or four are escalated to the Bupa head office immediately.  </w:t>
            </w:r>
          </w:p>
          <w:p w:rsidR="00EB7645" w:rsidRPr="00BE00C7" w:rsidP="00BE00C7">
            <w:pPr>
              <w:pStyle w:val="OutcomeDescription"/>
              <w:spacing w:before="120" w:after="120"/>
              <w:rPr>
                <w:rFonts w:cs="Arial"/>
                <w:b w:val="0"/>
                <w:lang w:eastAsia="en-NZ"/>
              </w:rPr>
            </w:pPr>
            <w:r w:rsidRPr="00BE00C7">
              <w:rPr>
                <w:rFonts w:cs="Arial"/>
                <w:b w:val="0"/>
                <w:lang w:eastAsia="en-NZ"/>
              </w:rPr>
              <w:t>Fifteen accident/incident forms were reviewed across the three service areas (three pressure injuries, three skin tears, one medication error, five unwitnessed falls and three witnessed falls).  Each event involving a resident reflected a clinical assessment and follow-up by a RN.  Incidents are analysed to assist in the identification of trends.  Neurological observations are done on all unwitnessed falls and suspected injuries to the head.</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aware of their requirement to notify relevant authorities in relation to essential notifications.  Section 31 notifications made since the last audit relate to pressure injuries.  A rhinovirus outbreak (March 2020) and influenza outbreak (August 2020) were notified to the public health authorities, and asbestos detected during the renovation, underway at the time of the audit, was notified to Worksafe and the City Council.  Asbestos notifications were completed by the building contractors.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Seven staff files reviewed (one unit coordinator/RN, three caregivers, two staff RNs, one activities assistant) evidenced implementation of the recruitment process including (but not limited to) interviews, reference checking, signed employment contracts and job descriptions, completed orientation programmes, and annual performance appraisals.  A register of practising certificates for all health professionals who work at the facility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is developed specifically to worker type (eg, RN, caregivers, activities staff) and includes documented competencies.  The caregivers, when newly employed, complete an orientation programme that has been aligned with the Careerforce health and well-being (level two) unit standards.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in place.  The service provides regular in-service education, and sessions have been provided that address all required areas.  Impromptu toolbox talks are undertaken on an as-needed (minimum of monthly) basis. Of the 21 RNs, 18 have completed interRAI training.  There are 32 caregivers that work in the psychogeriatric units and 26 have completed the required specialist (PG) dementia standards.  Six caregivers are in process of completing their dementia unit standards and have commenced work in the PG units within the last 18 months.  A first aid trained staff is available at all times (including on residents’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Care staff reported that staffing levels and the skill mix was appropriate and safe.  Families/whānau and residents interviewed advised that there is sufficient staff on duty to provide the care and support required.  The care home manager and clinical manager work full-time Monday to Friday.  There are two-unit coordinators/RNs; one oversees the two psychogeriatric units and the other oversees the rest home/hospital units.  They also work full time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The Palmside psychogeriatric (PG) unit (20 of 20 residents), is staffed with an RN on the morning and afternoon shifts and one RN on the night shift who shares time between the two PG units.  The RNs are supported by three caregivers on the morning shift (two long shift and one short shift (0700 - 1300).  One long shift and two short shift staff (1500 – 2130 and 1700 – 2100) work during the PM shift.  There is a minimum of two staff in Palmside during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Barrington psychogeriatric unit (24 of 24 residents), there is a RN on duty on the morning and afternoon shifts and a shared RN on the night shift.  The RNs are supported by four caregivers on the morning shift (three long and one short shift to 1300), three caregivers on the afternoon shift (two long and one short shift (1600 – 2130)), and two staff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Pioneer unit (24 of 30 hospital residents), there is a RN on duty on the morning and afternoon shifts and one RN on the night shift who shares her time between the two rest home/hospital units.  The RNs are supported by five caregivers on the morning shift (three long shift and two short shifts to 1300) and four caregivers on the afternoon shift (three long shift and one short shift until 2130).  Two staff (one RN and one caregiver or two caregivers) are rostered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dual-purpose Ashgrove unit (27 of 29 residents; 8 rest home and 19 hospital residents), there is a RN on duty on the morning and afternoon shifts and one (shared) RN on the night shift.  The RNs are supported by four caregivers on the morning shift (two long shift and two short shifts to 1300) and by three caregivers on the afternoon shift (two long and one short 1600 – 2130).  Two staff are rostered on the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were two residents self-administering inhalers on the day of audit, both had competencies in place which had been reviewed by the GP three-monthly.  There are four medication rooms on site, all have secured keypad access.  Medication fridges had daily temperature checks recorded and were within normal ranges.  All medications were securely and appropriately stored.  Registered nurses or senior caregivers who have passed their competency, administer medications.  Medication competencies are updated annually and include syringe drivers, sub cut fluids, blood sugars and oxygen/nebulisers.  Medications are checked on arrival and any pharmacy errors recorded and fed back to the supplying pharmacy.  There are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Twelve medication profiles were sampled (six psychogeriatric, four hospital level and two rest home level).  All charts had photo identification and allergy status documented.  All medication sheets evidenced three monthly reviews by the GP.  Prescribed medication is signed electronically after being administered as witnessed on the day of the audit.  Effectiveness of PRN medication administered were documented in the electronic prescription.  Controlled drugs and registers align with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oversees the procurement of the food and management of the kitchen.  The service is supported by three cooks (including the kitchen manager) and a team of kitchen assistants.  All food services staff have attended food safety training.  There are food service manuals and a range of policies and procedures in place to guide staff.  There is a well-equipped clean kitchen, and all meals are cooked on site.  A current food control plan is in place expiring on 3 December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plan lounge/ dining room in each community with a kitchenette.  Meals are delivered to all four communities in a bain-marie and plated in each community by caregivers.  On the day audit meals were observed to be hot and well presented.  Audits are implemented to monitor performance.  Kitchen fridge, food and freezer temperatures were monitored and documented daily; these were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likes and dislikes.  This is reviewed six-monthly as part of the care plan review.  Changes to residents’ dietary needs have been communicated to the kitchen by the registered nurse or unit coordinator.  Special diets were noted on the kitchen noticeboard which is able to be viewed only by kitchen staff.  The national menus have been audited and approved by an external dietitian.  There was evidence that there are additional nutritious snacks available over 24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and surveys provide feedback on the meals and food service.  Residents and relatives interviewed were very happy with meals provided and confirmed that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at each shift handover.  All care plans reviewed included documentation that meets the need of the residents and had been updated as residents` needs changed.  If external allied health requests or referrals are required, the unit coordinator’s initiate the referral (eg, wound care specialist, dietitian, or mental health team).  The GP interviewed on day of audit spoke highly of the service and confirmed of being kept informed of changes in resident condition.  Relatives agreed that the clinical care is good and that they are involved in the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stated there is adequate equipment provided including continence and wound care supplies.  Individual wound assessments, plans and evaluations demonstrate progression of healing or wound deterioration were in place for all wounds. In Ashgrove community (dual purpose) there were a total of eight wounds: four hospital and four rest home (three skin tears, two cancerous lesion, one abrasion, one chronic ulcer and one corn).  Pioneer (hospital) community had eight wounds (two stage 2 facility acquired pressure injuries, one lesion, one skin tear, and one resident with four wounds (skin graft site, donor site, and two wound sites).  The specialists continue to monitor progression towards healing of the graft and donor sites.  Palmside (PG) community had a total of eight wounds, one resident has three skin tears, another has two skin tears.  There were two residents with incontinence associated dermatitis (IAD), and another resident had an abrasion.  Barrington (PG) had a total of eight wounds, including one chronic cancerous lesion, 4 cancerous lesions, one IAD and two abrasions.  Wound care specialists have been involved with chronic wounds.  Short-term care plans were in place for short term wounds and have either been resolved or added to the long-term care plans.  Care plans document allied health input from (but not limited to), the physio, wound care specialist, podiatry.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caregivers demonstrated understanding of the individualised needs of residents.  Care plan interventions clearly demonstrate that residents’ needs are met.  There was evidence of two hourly turning charts, monthly weight and vital sign monitoring, food and fluid charts and daily activity check 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at each shift handover.  All care plans reviewed included documentation that meets the need of the residents and had been updated as residents` needs changed.  If external allied health requests or referrals are required, the unit coordinator’s initiate the referral (eg, wound care specialist, dietitian, or mental health team).  The GP interviewed on day of audit spoke highly of the service and confirmed of being kept informed of changes in resident condition.  Relatives agreed that the clinical care is good and that they are involved in the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stated there is adequate equipment provided including continence and wound care supplies.  Individual wound assessments, plans and evaluations demonstrate progression of healing or wound deterioration were in place for all wounds. In Ashgrove community (dual purpose) there were a total of eight wounds: four hospital and four rest home (three skin tears, two cancerous lesion, one abrasion, one chronic ulcer and one corn).  Pioneer (hospital) community had eight wounds (two stage 2 facility acquired pressure injuries, one lesion, one skin tear, and one resident with four wounds (skin graft site, donor site, and two wound sites).  The specialists continue to monitor progression towards healing of the graft and donor sites.  Palmside (PG) community had a total of eight wounds, one resident has three skin tears, another has two skin tears.  There were two residents with incontinence associated dermatitis (IAD), and another resident had an abrasion.  Barrington (PG) had a total of eight wounds, including one chronic cancerous lesion, 4 cancerous lesions, one IAD and two abrasions.  Wound care specialists have been involved with chronic wounds.  Short term care plans were in place for short term wounds and have either been resolved or added to the long-term care plans.  Care plans document allied health input from (but not limited to), the physio, wound care specialist, podiatry.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caregivers demonstrated understanding of the individualised needs of residents.  Care plan interventions clearly demonstrate that residents’ needs are met.  There was evidence of two hourly turning charts, monthly weight and vital sign monitoring, food and fluid charts and daily activity check lists.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coordinated by a team of eight.  One coordinator and seven activity assistants.  Two qualified diversional therapists (activities assistants,) one non-practicing occupational therapist (activities assistant) and one activities coordinator were interviewed.  All members of the activity team have a current first aid certificate.  On the day of audit, residents in all areas were observed being actively involved with a variety of activities.  The Bupa activities programme template is designed for high-end and low-end cognitive functions and meets individual cognitive, intellectual and physical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for each community is developed monthly and displayed in large print in all units and communal areas.  Residents have an assessment and MOL (map of life) completed over the first few weeks after admission, obtaining a complete history of past and present interests, career, family etc.  Resident files reviewed identified that the individual activity plan is reviewed at least six-monthly as part of the care plan review.  The residents' activity care plans have de-escalating techniques for residents with behaviour that might challenge.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assistants in the Ashgrove (dual purpose) and Pioneer (hospital) communities work between 9.30am to 4pm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Ashgrove unit include (but are not limited to), crafts, exercises, group games, and gardening.  One on one activities include walks, colouring, and chats.  Group games include housie, whiteboard games, sitting exercises, Christmas craft and bowls.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Pioneer community include (but not limited to); group and one on one activities depending on the abilities of the residents.  There is a focus around music and singing, group games, assisting the residents with the library trolley around the facility and checking and changing the books monthly.  There are daily exercises, group balloon games, crafts, story reading, housie and hand pampering.  </w:t>
            </w:r>
          </w:p>
          <w:p w:rsidR="00EB7645" w:rsidRPr="00BE00C7" w:rsidP="00BE00C7">
            <w:pPr>
              <w:pStyle w:val="OutcomeDescription"/>
              <w:spacing w:before="120" w:after="120"/>
              <w:rPr>
                <w:rFonts w:cs="Arial"/>
                <w:b w:val="0"/>
                <w:lang w:eastAsia="en-NZ"/>
              </w:rPr>
            </w:pPr>
            <w:r w:rsidRPr="00BE00C7">
              <w:rPr>
                <w:rFonts w:cs="Arial"/>
                <w:b w:val="0"/>
                <w:lang w:eastAsia="en-NZ"/>
              </w:rPr>
              <w:t>Activities in the psychogeriatric communities commence around 2pm and run until 8pm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programme in the Barrington community includes (but not limited to), music and group activities for the more active residents, the not so active residents or residents who prefer a calmer environment are assisted to participate in colouring, watching sport of their choosing on the TV, and playing scrabble.  Group activities include housie, group ball and balloon games, exercises, karaoke and walks out in the garden.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in the Palmside community include (but not limited to), group games, planting out the garden with assistance from the activity coordinator, making bird feeders, and walks outside, 4pm drinks round, hand cares, word search, newspaper reading, and crafts in the evenings.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Pet therapy and church services are provided across all communities.  The van for outings is shared with sister facilities.  Resident outings occur twice a month with the communities each having an outing.  Special occasions are celebrated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regularly in the Ashgrove community, resident feedback is sought by the activities assistant on an informal basis at the six-monthly reviews with residents and relatives in Pioneer and the two PG units.  Community links are maintained with visiting church groups, outings to places of interest and picnics.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surveys, monthly facility meetings and resident meetings.  Residents and relatives interviewed spoke positively about the activities programme and team members.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reviewed demonstrated that all interRAI assessments and care plans reviewed were evaluated at least six-monthly or when changes to care occurs.  Short-term care plans for short-term needs were evaluated and either resolved or added to the long-term care plan as an ongoing problem.  All changes in health status are documented and followed up.  The multidisciplinary review involves input from the RN, GP, activities staff resident/family, unit coordinator and clinical manager.  The files reviewed reflect evidence of relatives being involved in the planning of care and reviews.  In all the files sampled care plans have been read and signed by EPOA/family.  There is at least a three-monthly review by the medical practitioner with majority of residents being seen monthly.  The relatives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1 January 2021.  Fire equipment is checked by an external provider.  Reactive and preventative maintenance occurs with a 52-week planned maintenance programme in place.  The hot water temperatures in the resident areas are monitored regularly on a room rotation basis.  Corrective actions are implemented when temperatures exceed 45 degrees Celsius.  Electrical equipment is tested and tagged, and medical equipment is tested/calibrated annually.  The corridors are wide and promote safe mobility with the use of mobility aids and transferring equipment.  Residents were observed moving freely around the areas with mobility aids where required.  The external areas and gardens are well-maintained.  There are outside areas that include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The lounge areas are designed so that space and seating arrangements provide for individual and group activities.  There are quiet, low stimulus areas that provide privacy when required.  There is wheelchair access to all areas.  Residents are able to bring in their own possessions and are able to decorate their room as they wish.  The psychogeriatric units are secure with a secure internal courtyard.  The facility has a van available for transportation of residents.  Those staff transporting residents hold a current first aid certificate.  The caregivers and RNs interviewed stated that they have all the equipment referred to in care plans and necessary to provide care.</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building renovations were underway in the hospital wing, creating more space (merging the dining and lounge areas) and improving safety for residents wishing to go outdoors.  Appropriate health and safety signage and fencing protects visitors from unauthorised access.  One high risk hazard was identified (detection of asbestos).  Immediate steps were undertaken to notify the authorities, remove people from the exposed area, and seal it off.  Notifications were made to Worksafe and the City Council.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(RN) uses the information obtained through surveillance to determine infection control activities, resources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assist the service in evaluating infection control needs.  This includes audits of the facility, hand hygiene and surveillance of infection control events and infections.  There is close liaison with the general practitioners, Bupa infection control team, DHB infection control team and laboratory that advise and provide feedback/information to the service.  Infections statistics are included for benchmarking.  Corrective actions are established where infections are above the benchmark.  Staff are kept informed.  The facility remains under the benchmark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The rhinovirus outbreak in March 2020, and influenza outbreak in August 2020 were managed well.  Logs were maintained, daily meetings were held.  The public health department was informed.  Debrief meetings were held post outbreak.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Covid-19 pandemic is being well managed.  During lockdown, temperature checking logs for residents and staff were maintained, and resources are available for staff.  Education has been held around standard precautions, handwashing, donning and doffing personal protective equipment.  Staff interviewed felt they were updated of new guidelines and legislation.  Relatives interviewed described the Bupa newsletters updating them, and there was an appointment system in place for phoning the facility to talk with residents.  Wellness declarations continue to be completed by all visitors and contractors entering the facility in line with current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Interviews with the staff confirmed their understanding of restraints and enablers.  At the time of the audit the service had four PG residents using five restraints (bedrails (two), t-belts (three) and no residents using any enablers.  Restraints are only used as a last resort.  Staff training has been provided around restraint minimisation and management of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Cashmere View Rest Home &amp; Hospital</w:t>
    </w:r>
    <w:bookmarkEnd w:id="58"/>
    <w:r>
      <w:rPr>
        <w:rFonts w:cs="Arial"/>
        <w:sz w:val="16"/>
        <w:szCs w:val="20"/>
      </w:rPr>
      <w:tab/>
      <w:t xml:space="preserve">Date of Audit: </w:t>
    </w:r>
    <w:bookmarkStart w:id="59" w:name="AuditStartDate1"/>
    <w:r>
      <w:rPr>
        <w:rFonts w:cs="Arial"/>
        <w:sz w:val="16"/>
        <w:szCs w:val="20"/>
      </w:rPr>
      <w:t>19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