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Agape Care Warkworth Limited - Bethany Hill Dementia 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Agape Care Warkworth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Bethany Hill Dementia 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December 2020</w:t>
      </w:r>
      <w:bookmarkEnd w:id="7"/>
      <w:r w:rsidRPr="009418D4">
        <w:rPr>
          <w:rFonts w:cs="Arial"/>
        </w:rPr>
        <w:tab/>
        <w:t xml:space="preserve">End date: </w:t>
      </w:r>
      <w:bookmarkStart w:id="8" w:name="AuditEndDate"/>
      <w:r w:rsidR="00A4268A">
        <w:rPr>
          <w:rFonts w:cs="Arial"/>
        </w:rPr>
        <w:t>8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service is owned by Agape Care Warkworth and trades as Bethany Hill Dementia Care providing secure dementia care for up to 30 residents. The service is managed by one of the owner/directors who is the facility manager/registered nurse. The facility manager is supported by two registered nurses.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family, managers and a general practitioner (GP).</w:t>
      </w:r>
    </w:p>
    <w:p w:rsidRPr="00A4268A">
      <w:pPr>
        <w:spacing w:before="240" w:line="276" w:lineRule="auto"/>
        <w:rPr>
          <w:rFonts w:eastAsia="Calibri"/>
        </w:rPr>
      </w:pPr>
      <w:r w:rsidRPr="00A4268A">
        <w:rPr>
          <w:rFonts w:eastAsia="Calibri"/>
        </w:rPr>
        <w:t>No areas were identified as requiring improvement. A continuous improvement rating was made in relation to the evaluation and significant improvement in the service’s emergency plan, taking into consideration the staff obligations and the special needs of people with dementia in an emergency situation.</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There is open communication between staff, residents and families or enduring power of attorney (EPOA).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The complaints management system is readily accessible and managed in compliance with the Code of Rights.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The business plan and strategic plans are reviewed annually. These plans outline the purpose, values, scope, direction and objectives of the organisation. The facility manager reports against the objectives at the quality meeting held monthly. Adequate information to monitor performance is reported including any emerging risks and/or issues.</w:t>
      </w:r>
    </w:p>
    <w:p w:rsidRPr="00A4268A">
      <w:pPr>
        <w:spacing w:before="240" w:line="276" w:lineRule="auto"/>
        <w:rPr>
          <w:rFonts w:eastAsia="Calibri"/>
        </w:rPr>
      </w:pPr>
      <w:r w:rsidRPr="00A4268A">
        <w:rPr>
          <w:rFonts w:eastAsia="Calibri"/>
        </w:rPr>
        <w:t xml:space="preserve">The service is managed by one of the owner/directors who is the facility manager. The facility manager is a registered nurse with a current annual practising certificate. The facility manager works across two dementia care services, working two days a week at each site and a third day is used as needed to arrange admissions, talk with families or manage any arising issues. Quality and risk management processes are established and maintained and improvements implemented whenever practicable. Adverse events are recorded and actions taken to prevent recurrence. An effective health and safety and hazard management system is in place. </w:t>
      </w:r>
    </w:p>
    <w:p w:rsidRPr="00A4268A">
      <w:pPr>
        <w:spacing w:before="240" w:line="276" w:lineRule="auto"/>
        <w:rPr>
          <w:rFonts w:eastAsia="Calibri"/>
        </w:rPr>
      </w:pPr>
      <w:r w:rsidRPr="00A4268A">
        <w:rPr>
          <w:rFonts w:eastAsia="Calibri"/>
        </w:rPr>
        <w:t xml:space="preserve">The organisation has established human resources management processes and staffing is stable. Staff numbers and skill mix are suitable for the layout of the facility and for the residents accommodated. </w:t>
      </w:r>
    </w:p>
    <w:p w:rsidRPr="00A4268A">
      <w:pPr>
        <w:spacing w:before="240" w:line="276" w:lineRule="auto"/>
        <w:rPr>
          <w:rFonts w:eastAsia="Calibri"/>
        </w:rPr>
      </w:pPr>
      <w:r w:rsidRPr="00A4268A">
        <w:rPr>
          <w:rFonts w:eastAsia="Calibri"/>
        </w:rPr>
        <w:t xml:space="preserve">Residents information was entered into records in a timely way and was appropriate to the service setting.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Access to Bethany Hill Dementia Care is appropriate and efficiently managed with relevant information provided to the potential resident’s family.</w:t>
      </w:r>
    </w:p>
    <w:p w:rsidRPr="00A4268A" w:rsidP="00621629">
      <w:pPr>
        <w:spacing w:before="240" w:line="276" w:lineRule="auto"/>
        <w:rPr>
          <w:rFonts w:eastAsia="Calibri"/>
        </w:rPr>
      </w:pPr>
      <w:r w:rsidRPr="00A4268A">
        <w:rPr>
          <w:rFonts w:eastAsia="Calibri"/>
        </w:rPr>
        <w:t xml:space="preserve">Residents are assessed by the multidisciplinary team on admission, including a registered nurse and general practitioner.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Family members and enduring power of attorneys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is a residential care facility divided into three wings all on one level. The building, fittings and furnishings are regularly maintained. Each resident has their own room, and a lounge and dining room is in each area of service delivery.</w:t>
      </w:r>
    </w:p>
    <w:p w:rsidRPr="00A4268A">
      <w:pPr>
        <w:spacing w:before="240" w:line="276" w:lineRule="auto"/>
        <w:rPr>
          <w:rFonts w:eastAsia="Calibri"/>
        </w:rPr>
      </w:pPr>
      <w:r w:rsidRPr="00A4268A">
        <w:rPr>
          <w:rFonts w:eastAsia="Calibri"/>
        </w:rPr>
        <w:t xml:space="preserve">There are sound processes for management of waste, emergencies and security. </w:t>
      </w:r>
    </w:p>
    <w:p w:rsidRPr="00A4268A">
      <w:pPr>
        <w:spacing w:before="240" w:line="276" w:lineRule="auto"/>
        <w:rPr>
          <w:rFonts w:eastAsia="Calibri"/>
        </w:rPr>
      </w:pPr>
      <w:r w:rsidRPr="00A4268A">
        <w:rPr>
          <w:rFonts w:eastAsia="Calibri"/>
        </w:rPr>
        <w:t xml:space="preserve">Cleaning and laundry processes are effective and meet regulatory requirements. </w:t>
      </w:r>
    </w:p>
    <w:p w:rsidRPr="00A4268A">
      <w:pPr>
        <w:spacing w:before="240" w:line="276" w:lineRule="auto"/>
        <w:rPr>
          <w:rFonts w:eastAsia="Calibri"/>
        </w:rPr>
      </w:pPr>
      <w:r w:rsidRPr="00A4268A">
        <w:rPr>
          <w:rFonts w:eastAsia="Calibri"/>
        </w:rPr>
        <w:t xml:space="preserve">The outside area is secure and appropriate for residents with dementia to walk around safely and freely. </w:t>
      </w:r>
    </w:p>
    <w:p w:rsidRPr="00A4268A">
      <w:pPr>
        <w:spacing w:before="240" w:line="276" w:lineRule="auto"/>
        <w:rPr>
          <w:rFonts w:eastAsia="Calibri"/>
        </w:rPr>
      </w:pPr>
      <w:r w:rsidRPr="00A4268A">
        <w:rPr>
          <w:rFonts w:eastAsia="Calibri"/>
        </w:rPr>
        <w:t>The temperature was comfortable throughout the facility. The facility has plenty of natural light.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was no restraint or enabler use at the time of the audit. The environment is restraint free due to the nature of this dementia care service. Staff are trained in de-escalation to manage any challenging behaviour as needed.</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06"/>
        <w:gridCol w:w="1280"/>
        <w:gridCol w:w="945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Bethany Hill Dementia Care has developed policies, procedures and processes to meet its obligations in relation to the Code of Health and Disability Services Consumers’ Rights (the Code). Staff interviewed understood the requirements of the Code and were observed demonstrating respectful communication, encouraging independence and providing options. Personal cares were completed behind closed doors. Training on the Code is included as part of the orientation process for all staff employed and in ongoing training, as was verified in training records.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provided relevant guidance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Clinical files reviewed showed that informed consent has been gained appropriately using the organisation’s standard consent form. Resuscitation treatment plans were completed for all residents in the files reviewed. Advance care plans were in place for some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files reviewed evidenced appropriate documentation of enduring power of attorney requirements and activated EPOAs were sighted. </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day-to-day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are given a copy of the Code, which also includes information on the Advocacy Service during the admission process. Posters and brochures related to the Advocacy Service were also displayed and available in the facility. Family members spoken with were aware of the Advocacy Service, how to access this and the residents’ right to have support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documented complaints process meets the requirements of the Code. Complaints information and forms were available. Review of sampled records indicated that the complaints process is implemented in practice.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were aware of their right to complain and the process by which they may do this. They confirmed that they would feel comfortable raising any issues with the manager and staff.</w:t>
            </w:r>
          </w:p>
          <w:p w:rsidR="00EB7645" w:rsidRPr="00BE00C7" w:rsidP="00BE00C7">
            <w:pPr>
              <w:pStyle w:val="OutcomeDescription"/>
              <w:spacing w:before="120" w:after="120"/>
              <w:rPr>
                <w:rFonts w:cs="Arial"/>
                <w:b w:val="0"/>
                <w:lang w:eastAsia="en-NZ"/>
              </w:rPr>
            </w:pPr>
            <w:r w:rsidRPr="00BE00C7">
              <w:rPr>
                <w:rFonts w:cs="Arial"/>
                <w:b w:val="0"/>
                <w:lang w:eastAsia="en-NZ"/>
              </w:rPr>
              <w:t>The complaints register is maintained by the manager with the names, date, summary of complaint, actions taken and sign off when completed. The two complaints received since the last audit were addressed within the timeframes of the Code. There have been no complaints received from external agencies. The staff demonstrated knowledge of the complaint management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interviewed family members reported that the Code and the Nationwide Health and Disability Advocacy Service (Advocacy Service) was part of the admission information provided and was discussed with staff on admission. The Code is displayed in all three areas together with information on advocacy services and how to make a complaint.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confirmed that residents received services in a manner that has regard for their dignity, privacy, sexuality, spirituality and choices. Staff were observed to maintain privacy throughout the audit.  All residents have a private room or share a room.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maintain their independence where appropriate, for example, when attending to community activities and participation in activities of their choosing.  Care plans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understood the service’s policy on abuse and neglect, including what to do should there be any signs. Education on abuse and neglect was confirmed to occur during orientation and annually. Interviewed family have not witnessed or suspected any abuse.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when required. The principles of the Treaty of Waitangi are incorporated into daily practice, as is the importance of whānau. There is a current Māori health plan developed with input from cultural advisers. Guidance on tikanga best practice is available and is supported by staff who identify as Māori in the facility. The facility has links with the local Maori cultural advisors. Whānau interviewed reported that staff acknowledge and respected resident’s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Family verified that they were consulted on residents’ individual culture, values and beliefs and that staff respected these. Residents’ personal preferences, required interventions and special needs were included in care plans reviewed, for example, preferred cultural food. The resident satisfaction survey confirmed that individual needs are being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expected behaviours and the Code of Conduct. All registered nurses have records of completion of the required training on professional boundaries.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evidence-based policies, input from external specialist services and allied health professionals, for example, diabetes nurse specialist, psycho-geriatrician, mental health services for older persons, and education of staff. The general practitioner (GP) confirmed the service sought prompt and appropriate medical intervention when required and were responsive to medical requests. </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to support contemporary good practice.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and EPOAs stated they were kept well informed about any changes to their relative’s status, were advised in a timely manner about any incidents or accidents and outcomes of regular and any urgent medical reviews. This was evident in residents’ records reviewed.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through the local district health board (DHB), although staff reported this was rarely required due to all residents able to speak English, staff able to provide interpretation as and when needed and the use of family members and hand gestures for those with communication difficulties.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owned by Agape Care Warkworth Limited and is trading as Bethany Hill Dementia Care. There are two owner/directors who own two dementia care services; Bethany Hill Dementia Care and another facility north of Auckland. Bethany Hill Dementia Care was purchased three years ago and one of the owner/directors is the facility manager covering the two sites, working two days a week at each site and the extra day per week wherever needed at the time to follow-up enquiries, new admissions and to talk with families. The facility manager (FM) interviewed is a registered nurse with a current annual practising certificate (APC) and has eleven years of experience working as a registered nurse. Two experienced registered nurses support the FM. The FM is a member of an aged care association and receives ongoing education and updates regarding management of aged care services. Professional development hours are maintained for both nursing and management. The registered nurses (one of whom was interviewed) report to the FM regularly on a daily basis.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organisation’s vision, mission, values and objectives of the residential dementia care services are set annually and this was documented in the business plan 2019 to 2021 reviewed. Family/whanau interviewed reported satisfaction with the care and service delivery. This is also supported through the satisfaction survey results.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rest home dementia level care for up to 30 residents. At the time of audit there were 24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Either of the two experienced registered nurses can cover the service in the absence of the facility manager as confirmed at interview and the job descriptions sampled. The facility manager reported confidence in both registered nurses’ ability to take on the role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plan describes the quality and risk management system. The plan is reviewed on an annual basis and approved by the directors. The plan covers the key aspects of service delivery. Monitoring timeframes and target dates are identified. The quality objectives are also monitored through the internal auditing programme monthly. The facility manager and registered nurse demonstrated knowledge of the quality and risk management systems and reported that outcomes are discussed at meetings and reported back to staff at the staff meetings held one to two monthly as per the minutes of meetings reviewed. The service has completed several quality improvement projects related to the environment and wound care management.</w:t>
            </w:r>
          </w:p>
          <w:p w:rsidR="00EB7645" w:rsidRPr="00BE00C7" w:rsidP="00BE00C7">
            <w:pPr>
              <w:pStyle w:val="OutcomeDescription"/>
              <w:spacing w:before="120" w:after="120"/>
              <w:rPr>
                <w:rFonts w:cs="Arial"/>
                <w:b w:val="0"/>
                <w:lang w:eastAsia="en-NZ"/>
              </w:rPr>
            </w:pPr>
            <w:r w:rsidRPr="00BE00C7">
              <w:rPr>
                <w:rFonts w:cs="Arial"/>
                <w:b w:val="0"/>
                <w:lang w:eastAsia="en-NZ"/>
              </w:rPr>
              <w:t>The policies are referenced to legislation best practice and reviewed on a two-yearly cycle or sooner if there are any changes to legislation. A contracted quality consultant is available and provides assistance with any changes required. The organisation has a documented risk management plan which identifies risks and management strategies. All potential and actual risks were reported and reviewed regularly since the previous audit. Clinical risks were discussed at the quality meeting and staff meetings as confirmed in meeting minutes sighted and confirmed by staff. There is now an up-to-date hazard register and the process for reporting hazards is understood by staff interviewed.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collection and analysis is maintained, and evaluation of results shared with staff. Corrective actions and quality improvements were put into place where quality data indicated any shortfalls. Staff confirmed that all follow-up actions are discussed during handover and at the regular staff meetings. Data and information for all key components of the service inclusive of complaints, incidents and accidents, health and safety, hazards and infection prevention and control are collected, evaluated and trended. </w:t>
            </w:r>
          </w:p>
          <w:p w:rsidR="00EB7645" w:rsidRPr="00BE00C7" w:rsidP="00BE00C7">
            <w:pPr>
              <w:pStyle w:val="OutcomeDescription"/>
              <w:spacing w:before="120" w:after="120"/>
              <w:rPr>
                <w:rFonts w:cs="Arial"/>
                <w:b w:val="0"/>
                <w:lang w:eastAsia="en-NZ"/>
              </w:rPr>
            </w:pPr>
            <w:r w:rsidRPr="00BE00C7">
              <w:rPr>
                <w:rFonts w:cs="Arial"/>
                <w:b w:val="0"/>
                <w:lang w:eastAsia="en-NZ"/>
              </w:rPr>
              <w:t>The risks, hazard and emergency response plan identified potential and actual hazards. The plan included what the hazard is, risk level, preventative actions and ways to minimise risk. If the risk is ongoing this is monitored through the hazard register and monitoring frequency is based on the level of risk.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policy for the management and recording of accidents and incidents. Management and staff interviews and records of adverse events relating to falls and challenging behaviour provided evidence that they are well documented. Communication with family members and the GP is appropriate and timely in these cases. Minutes of quality meetings provided evidence of discussion of incidents and actions taken. </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and the senior registered nurse interviewed were aware of responsibility for reporting adverse events to external authorities. This includes the reporting of stage three and above pressure injuries. The service received a letter recently about a resident transferred to the DHB that has since been transferred to another facility. An investigation is currently underway, and all requested and required documentation has been forwarded to the DHB in a timely manner, in regard to an adverse event reported and being actioned by the DHB.</w:t>
            </w:r>
          </w:p>
          <w:p w:rsidR="00EB7645" w:rsidRPr="00BE00C7" w:rsidP="00BE00C7">
            <w:pPr>
              <w:pStyle w:val="OutcomeDescription"/>
              <w:spacing w:before="120" w:after="120"/>
              <w:rPr>
                <w:rFonts w:cs="Arial"/>
                <w:b w:val="0"/>
                <w:lang w:eastAsia="en-NZ"/>
              </w:rPr>
            </w:pPr>
            <w:r w:rsidRPr="00BE00C7">
              <w:rPr>
                <w:rFonts w:cs="Arial"/>
                <w:b w:val="0"/>
                <w:lang w:eastAsia="en-NZ"/>
              </w:rPr>
              <w:t>There is a monthly analysis of any adverse events which includes a trend analysis. Where any shortfalls have been identified actions are implemented to make improvements to service delivery such as actions to reduce falls and skin tears. Falls are noted as being unwitnessed or witnessed and appropriate observations are performed as per the policy reviewed. The GP is notified and involved as necessary. The results are discussed at staff meetings. The staff demonstrated knowledge of when to complete incident/accident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that require professional qualifications have them validated as part of the employment process annually. A copy of the current annual practising certificates was sighted for all staff and contractors who required them.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identify human resources management that reflected good employment practice and meet the requirements of legislation. Staff records showed that prior to employment references and police checks were completed. Job descriptions clearly described staff responsibilities and best practice standards.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had completed the required orientation programme with specific competencies for their roles. The staff records confirmed employment orientation, performance appraisals and ongoing education was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appointment of appropriate staff is undertaken to safely meet the needs of residents. There are 18 caregivers employed at Bethany Hill Dementia Care. Caregivers’ have completed or are completing relevant New Zealand Qualification Authority (NZQA) aged care and dementia training. One caregiver has level 4, three level three and five are experienced in dementia care, completing training under the previous management. Three caregivers are currently training for level three and four. Four caregivers are newly employed and are enrolled to commence training in 2021, to meet the requirements of the provider’s agreement with the DHB. One senior caregiver/supervisor is (a registered nurse) studying currently for a Masters in Nursing with no current APC). All staff except two caregivers have completed first aid training. The gerontology nurse specialist has provided training in 2020 and the planned 2020 programme objectives were met with on-line care training being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also were involved and covered topics at the staff meetings held monthly. A record of attendance was maintained.  The service has two RNs that are trained and assessed as competent to use the interRAI assessment tool. </w:t>
            </w:r>
          </w:p>
          <w:p w:rsidR="00EB7645" w:rsidRPr="00BE00C7" w:rsidP="00BE00C7">
            <w:pPr>
              <w:pStyle w:val="OutcomeDescription"/>
              <w:spacing w:before="120" w:after="120"/>
              <w:rPr>
                <w:rFonts w:cs="Arial"/>
                <w:b w:val="0"/>
                <w:lang w:eastAsia="en-NZ"/>
              </w:rPr>
            </w:pPr>
            <w:r w:rsidRPr="00BE00C7">
              <w:rPr>
                <w:rFonts w:cs="Arial"/>
                <w:b w:val="0"/>
                <w:lang w:eastAsia="en-NZ"/>
              </w:rPr>
              <w:t>A senior caregiver acts as a leader/supervisor for the caregivers and is well received in this role by all care staff and this person reports to the registered nurses.</w:t>
            </w:r>
          </w:p>
          <w:p w:rsidR="00EB7645" w:rsidRPr="00BE00C7" w:rsidP="00BE00C7">
            <w:pPr>
              <w:pStyle w:val="OutcomeDescription"/>
              <w:spacing w:before="120" w:after="120"/>
              <w:rPr>
                <w:rFonts w:cs="Arial"/>
                <w:b w:val="0"/>
                <w:lang w:eastAsia="en-NZ"/>
              </w:rPr>
            </w:pPr>
            <w:r w:rsidRPr="00BE00C7">
              <w:rPr>
                <w:rFonts w:cs="Arial"/>
                <w:b w:val="0"/>
                <w:lang w:eastAsia="en-NZ"/>
              </w:rPr>
              <w:t>Family/whanau members interviewed identified that the service is meeting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documented policy details staffing levels and skill mix requirements, and this aligns with the obligations of the provider’s contractual requirements for dementia care services. The level is higher than required due to the layout and design of the facility which has three separate areas within the one service. Additional staff hours are put in place as required (such as for a resident presenting with increased challenging behaviour) and the registered nurses can increase the levels as needed.</w:t>
            </w:r>
          </w:p>
          <w:p w:rsidR="00EB7645" w:rsidRPr="00BE00C7" w:rsidP="00BE00C7">
            <w:pPr>
              <w:pStyle w:val="OutcomeDescription"/>
              <w:spacing w:before="120" w:after="120"/>
              <w:rPr>
                <w:rFonts w:cs="Arial"/>
                <w:b w:val="0"/>
                <w:lang w:eastAsia="en-NZ"/>
              </w:rPr>
            </w:pPr>
            <w:r w:rsidRPr="00BE00C7">
              <w:rPr>
                <w:rFonts w:cs="Arial"/>
                <w:b w:val="0"/>
                <w:lang w:eastAsia="en-NZ"/>
              </w:rPr>
              <w:t>There are three care staff on duty on morning and afternoon shifts and two caregivers at night. In addition, in the mornings, there is a registered nurse five to six days a week and the other registered nurse is employed 30 hours a week. The registered nurses completed the interRAI assessments and update the care plans as part of their daily work and complete the day to day running of the facility. The FM completes the management aspects of the service.</w:t>
            </w:r>
          </w:p>
          <w:p w:rsidR="00EB7645" w:rsidRPr="00BE00C7" w:rsidP="00BE00C7">
            <w:pPr>
              <w:pStyle w:val="OutcomeDescription"/>
              <w:spacing w:before="120" w:after="120"/>
              <w:rPr>
                <w:rFonts w:cs="Arial"/>
                <w:b w:val="0"/>
                <w:lang w:eastAsia="en-NZ"/>
              </w:rPr>
            </w:pPr>
            <w:r w:rsidRPr="00BE00C7">
              <w:rPr>
                <w:rFonts w:cs="Arial"/>
                <w:b w:val="0"/>
                <w:lang w:eastAsia="en-NZ"/>
              </w:rPr>
              <w:t>Staff and family interviews and review of rosters indicated that there is adequate staffing for the number of residents, the level of care and the lay out of the facility. Staff interviewed confirmed that assistance is readily available if they need it. The registered nurses share the on-call after-hours and staff reported this system works effectively and that advice is always available if needed. One staff on each shift has a first aid certificate. There are sufficient, household support staff (cleaners/laundry) and activities staff to meet the needs of the residents. The staff interviewed reported they can complete their work in the time allocated.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physiotherapy, podiatrists, nursing and other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admission enquiries and process to entry is managed by the facility manager (FM) and the RNs. Pre-entry assessment was completed by the local Needs Assessment and Service Coordination (NASC) Service for all residents in the files reviewed. Prospective residents and/or their families are encouraged to visit the facility prior to admission. The admission pack contained written information about the service and the admission process. The organisation seeks updated information from NASC and the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was made available to them on admission. Files reviewed contained completed demographic details,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provided as appropriate. The on-call RN support the caregivers after hours as required. The service uses the DHB’s ‘yellow envelope’ system to facilitate transfer of residents to and from acute care services. There is open communication between all services, the family/whanau and the EPOA. At the time of transition between services, appropriate information is provided for the ongoing management of the resident.  All referrals were documented in the progress notes. An example reviewed of a resident recently transferred to the local acute care facility showed that appropriate documentation was completed. Family of the resident reported being kept well informed during the transfer of their relative. If the needs of a resident change and they are no longer suitable for the services offered, a referral for reassessment to the NASC is made and a new placement found, in consultation with the resident and whānau/family. Examples of this occurring were discussed.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Bethany Hill Dementia Care has a current medication management policy that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 paper-based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Current medication administration competencies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contracted pharmacy supplies medication to the facility in a pre-packaged format. The RN checks medications against the prescription and completes medication reconciliation when residents are received from acute services.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controlled drugs kept on site. There were no residents who self-administer medications. 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The medication charts reviewed included the prescriber’s signature and date recorded on the commencement and discontinuation of medicines and all requirements for pro re nata (PRN) medicines. The required three-monthly GP review was consistently recorded on the medicine chart.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three cooks and is in line with recognised nutritional guidelines for older people. The kitchen staff have completed relevant food safety and handling training. The menu follows summer and winter patterns in a four weekly cycle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council. Food temperatures, including for high-risk items, are monitored appropriately and recorded as part of the plan. The kitchen was clean and decanted food in the fridge was labelled and covered.</w:t>
            </w:r>
          </w:p>
          <w:p w:rsidR="00EB7645" w:rsidRPr="00BE00C7" w:rsidP="00BE00C7">
            <w:pPr>
              <w:pStyle w:val="OutcomeDescription"/>
              <w:spacing w:before="120" w:after="120"/>
              <w:rPr>
                <w:rFonts w:cs="Arial"/>
                <w:b w:val="0"/>
                <w:lang w:eastAsia="en-NZ"/>
              </w:rPr>
            </w:pPr>
            <w:r w:rsidRPr="00BE00C7">
              <w:rPr>
                <w:rFonts w:cs="Arial"/>
                <w:b w:val="0"/>
                <w:lang w:eastAsia="en-NZ"/>
              </w:rPr>
              <w:t>A diet profile is completed for each resident on admission. The personal food preferences, any special diets and modified texture requirements are made known to kitchen staff and accommodated in the daily meal plan. Drinks and snacks are always available in a 24-hour period for all residents. Special equipment, to meet resident’s nutritional needs, is available. Meals are served in three dining rooms: one dining room in each of the three wings.</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family members interviews and satisfaction surveys. On the days of the audit, residents were given enough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 stated that prospective residents who do not meet the entry criteria, for example, those who need higher level of care or when there is no vacancy, are declined entry to the services and are referred to alternative service providers. Their family/whanau of choice are informed of the reason for the decline. The local NASC is advised to ensure the prospective resident and family are supported to find an appropriate care alternative when required.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Validated nursing assessment tools, such as a pain scale, falls risk, skin integrity, nutritional screening and behaviour assessment, were used to identify any deficits and to inform care planning. The sample of care plans reviewed had an integrated range of resident-related information.  All residents have current interRAI assessments completed and the relevant outcome scores have supported care plan goals and interventions. Families and EPOAs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was documented and verbally passed on to relevant staff.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Residents’ individualised needs were evident in all areas of service provision. Hourly monitoring was completed for all residents and records were maintained. The GP verified that medical input is sought in a timely manner, and that medical orders are followed, and care is provided as prescribed. The caregivers confirmed that care was provided as outlined in the documentation. Appropriate equipment and resources were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social history assessment is completed on admission to ascertain residents’ needs, interests, abilities and social requirements. Residents’ participation in activities is monitored daily and records were maintained using a daily attendance record sheet. Individualised activities care plans were completed for all residents including a 24-hour care plan. Activities care plans were evaluated six-monthly as part of the formal six-monthly care plan review. Where there was a significant change in a resident’s condition and attendance, the activities plan was reassessed and updated as required.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activities programme is provided by an activities coordinator with the support of an activities assistant. Activities reflected residents’ goals, ordinary patterns of life and included normal community activities. Individual, group activities and regular events are offered. Activities on the planner are specific to the needs and abilities of the people living there. Activities are offered at times when residents are most physically active and/or restless. Residents were participating in a variety of activities. The activities on the programmes included balloon games, walks, seated dancing, craft, gardening, music, bowls and volleyball.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Family/whanau are involved in evaluating and improving the programme through satisfaction surveys and six-monthly residents’ care evaluations. Family interviewed confirmed the programme was adequate.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by the caregivers. If any change is noted, it is reported to the RN. The RN reviews the progress notes and document weekly and more frequently as determined by residents’ condition. This was verified in records reviewed.</w:t>
            </w:r>
          </w:p>
          <w:p w:rsidR="00EB7645" w:rsidRPr="00BE00C7" w:rsidP="00BE00C7">
            <w:pPr>
              <w:pStyle w:val="OutcomeDescription"/>
              <w:spacing w:before="120" w:after="120"/>
              <w:rPr>
                <w:rFonts w:cs="Arial"/>
                <w:b w:val="0"/>
                <w:lang w:eastAsia="en-NZ"/>
              </w:rPr>
            </w:pPr>
            <w:r w:rsidRPr="00BE00C7">
              <w:rPr>
                <w:rFonts w:cs="Arial"/>
                <w:b w:val="0"/>
                <w:lang w:eastAsia="en-NZ"/>
              </w:rPr>
              <w:t>Care plans reviewed evidenced that formal evaluations occurred every six months following the six-monthly interRAI reassessment, or as residents’ needs change. Where progress was different from expected, the service responded by initiating changes to the plan of care. Short-term care plans were consistently reviewed, and progress evaluated as clinically indicated. Short-term care plans were completed for chest infections, urinary tract infections and weight loss. Unresolved problems were added to long-term care plans. Family/whanau interviewed confirmed being involved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The service has a contracted GP, but the residents may choose to use another medical practitioner. If the need for other non-urgent services are indicated or requested, the GP or RN sends a referral to seek specialist input. Copies of referrals were sighted in residents’ files, including to the mental health team. The family/whānau and EPOAs are kept informed of the referral process, as verified by documentation and interviews. Any acute/urgent referrals were attended to promptly with the support of the RN,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suitable documented guidelines in place for the management and storage of waste and hazardous substance that meet health and safety, infection prevention and control and local body requirements. Staff receive training in safe handling processes. Wall mounted chemicals were visible in the laundry. Personal protective resources are readily available such as gloves, masks, and aprons, and secure storage facilities are provided. Material safety data sheets were readily accessible.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waste management company is contracted. </w:t>
            </w:r>
          </w:p>
          <w:p w:rsidR="00EB7645" w:rsidRPr="00BE00C7" w:rsidP="00BE00C7">
            <w:pPr>
              <w:pStyle w:val="OutcomeDescription"/>
              <w:spacing w:before="120" w:after="120"/>
              <w:rPr>
                <w:rFonts w:cs="Arial"/>
                <w:b w:val="0"/>
                <w:lang w:eastAsia="en-NZ"/>
              </w:rPr>
            </w:pPr>
            <w:r w:rsidRPr="00BE00C7">
              <w:rPr>
                <w:rFonts w:cs="Arial"/>
                <w:b w:val="0"/>
                <w:lang w:eastAsia="en-NZ"/>
              </w:rPr>
              <w:t>A quality improvement project has resulted in improved storage and reduced usage of chemicals in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care facility is well maintained internally and externally. Internal areas are level and well lit. Handrails are installed in corridors and bathrooms. External areas have handrails and non-slip surfaces. External pathways are paved. Suitable external sheltered seating is available. Residents are able to walk freely throughout the three individual wings of the facility to the outside and back into the facility with no barriers in place.</w:t>
            </w:r>
          </w:p>
          <w:p w:rsidR="00EB7645" w:rsidRPr="00BE00C7" w:rsidP="00BE00C7">
            <w:pPr>
              <w:pStyle w:val="OutcomeDescription"/>
              <w:spacing w:before="120" w:after="120"/>
              <w:rPr>
                <w:rFonts w:cs="Arial"/>
                <w:b w:val="0"/>
                <w:lang w:eastAsia="en-NZ"/>
              </w:rPr>
            </w:pPr>
            <w:r w:rsidRPr="00BE00C7">
              <w:rPr>
                <w:rFonts w:cs="Arial"/>
                <w:b w:val="0"/>
                <w:lang w:eastAsia="en-NZ"/>
              </w:rPr>
              <w:t>There is a maintenance programme in place that is monitored by the facility manager. A current building warrant of fitness was sighted with and expiry date of 22 February 2021.</w:t>
            </w:r>
          </w:p>
          <w:p w:rsidR="00EB7645" w:rsidRPr="00BE00C7" w:rsidP="00BE00C7">
            <w:pPr>
              <w:pStyle w:val="OutcomeDescription"/>
              <w:spacing w:before="120" w:after="120"/>
              <w:rPr>
                <w:rFonts w:cs="Arial"/>
                <w:b w:val="0"/>
                <w:lang w:eastAsia="en-NZ"/>
              </w:rPr>
            </w:pPr>
            <w:r w:rsidRPr="00BE00C7">
              <w:rPr>
                <w:rFonts w:cs="Arial"/>
                <w:b w:val="0"/>
                <w:lang w:eastAsia="en-NZ"/>
              </w:rPr>
              <w:t>An equipment register is maintained by the facility manager and there are records of the required functional and calibration checks. All electrical appliances and equipment are tested and tagged annually by the owner/director who has completed the necessary qualifications to be competent to undertake this role.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three separate wings; two with 11 bedrooms and one wing with eight rooms. All rooms have a hand basin. Four bedrooms in the facility have their own toilet. Showers and toilets with hand basins are in close proximity to all residents’ rooms. There is a designated staff/visitor toilet with keypad access. Infection prevention and control measures are in place with flowing soap, hand towel dispenses and rubbish disposal bins in place. The families reported satisfaction with the facilities.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bedrooms are single size and are furnished with bed, side table and chair. There is adequate space for mobility aids and personal furniture and other items. The family, one resident and staff reported satisfaction with the space in the rooms. Families are encouraged to personalise the rooms for their family member living in this residential care home.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three lounge and dining areas, one in each wing. These rooms are freely accessible to the residents and are decorated with wall features providing a homely environment. The families interviewed reported satisfaction with the recreational and dining facilities. There are three additional areas available with seating for residents to enjoy located around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well-equipped separate area is provided for residents’ personal laundry. All laundry is done on site by staff who are trained in this role. Washing and drying machines are regularly checked and serviced. Temperatures are monitored and maintained to meet safe hygiene requirements. The two designated laundry persons have received training and documented material data sheets are available. Audits were completed as per the audit schedule reviewed. In addition, laundry &amp; cleaning schedules displayed on the wall in the laundry are completed daily. There are baskets available for each resident’s clean clothes and these are delivered to their rooms and put away appropriately.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is undertaken by cleaning staff. Cleaning guidelines are provided. There is suitable, safe storage for cleaning equipment and supplies. Cleaning schedules are maintained for daily and periodic cleaning. Cleaning audits are done monthly. Inspection on site confirmed that a high standard of cleanliness is maintained throughout the facility. Family survey results indicate general satisfaction with the standard of cleanliness maintained in the facility. A quality improvement project that introduced a new method of cloths that are colour coded for surfaces, furniture, floor etc. has resulted in more effective and efficient cleaning. A specific benchtop cleaning machine is located in the laundry for washing the cloths and other resources. There is an external area for drying these cleaning cloths.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suitable documented procedures for management of clinical, environmental and civil defence emergencies including a documented service continuity plan. Training in response to clinical and environmental emergencies is undertaken annually by staff.</w:t>
            </w:r>
          </w:p>
          <w:p w:rsidR="00EB7645" w:rsidRPr="00BE00C7" w:rsidP="00BE00C7">
            <w:pPr>
              <w:pStyle w:val="OutcomeDescription"/>
              <w:spacing w:before="120" w:after="120"/>
              <w:rPr>
                <w:rFonts w:cs="Arial"/>
                <w:b w:val="0"/>
                <w:lang w:eastAsia="en-NZ"/>
              </w:rPr>
            </w:pPr>
            <w:r w:rsidRPr="00BE00C7">
              <w:rPr>
                <w:rFonts w:cs="Arial"/>
                <w:b w:val="0"/>
                <w:lang w:eastAsia="en-NZ"/>
              </w:rPr>
              <w:t>Alternative cooking facilities are available in case of utility failure as gas is available. Food supplies would last three days. Large torches and head lights are available. Sufficient extra blankets are available to keep residents warm until alternative arrangements can be made. Sufficient water is stored for three days use and water tanks are accessible when the water pump is going. An improvement project in relation to the essential emergency power supply availability and resources has been acknowledged ensuring a safer and more efficient emergency system is in place. This was especially important due to the nature of the service.</w:t>
            </w:r>
          </w:p>
          <w:p w:rsidR="00EB7645" w:rsidRPr="00BE00C7" w:rsidP="00BE00C7">
            <w:pPr>
              <w:pStyle w:val="OutcomeDescription"/>
              <w:spacing w:before="120" w:after="120"/>
              <w:rPr>
                <w:rFonts w:cs="Arial"/>
                <w:b w:val="0"/>
                <w:lang w:eastAsia="en-NZ"/>
              </w:rPr>
            </w:pPr>
            <w:r w:rsidRPr="00BE00C7">
              <w:rPr>
                <w:rFonts w:cs="Arial"/>
                <w:b w:val="0"/>
                <w:lang w:eastAsia="en-NZ"/>
              </w:rPr>
              <w:t>An emergency evacuation plan approval letter was reviewed dated 15 January 2007. The plan of evacuation routes and assembly points is known to staff interviewed. The last fire drill was held on the 22 July 2020 with a good attendance noted. Drills are held for staff six monthly.</w:t>
            </w:r>
          </w:p>
          <w:p w:rsidR="00EB7645" w:rsidRPr="00BE00C7" w:rsidP="00BE00C7">
            <w:pPr>
              <w:pStyle w:val="OutcomeDescription"/>
              <w:spacing w:before="120" w:after="120"/>
              <w:rPr>
                <w:rFonts w:cs="Arial"/>
                <w:b w:val="0"/>
                <w:lang w:eastAsia="en-NZ"/>
              </w:rPr>
            </w:pPr>
            <w:r w:rsidRPr="00BE00C7">
              <w:rPr>
                <w:rFonts w:cs="Arial"/>
                <w:b w:val="0"/>
                <w:lang w:eastAsia="en-NZ"/>
              </w:rPr>
              <w:t>A call bell is within reach of the resident in each bedroom and in all service areas. Staff are aware of the emergency call sign.</w:t>
            </w:r>
          </w:p>
          <w:p w:rsidR="00EB7645" w:rsidRPr="00BE00C7" w:rsidP="00BE00C7">
            <w:pPr>
              <w:pStyle w:val="OutcomeDescription"/>
              <w:spacing w:before="120" w:after="120"/>
              <w:rPr>
                <w:rFonts w:cs="Arial"/>
                <w:b w:val="0"/>
                <w:lang w:eastAsia="en-NZ"/>
              </w:rPr>
            </w:pPr>
            <w:r w:rsidRPr="00BE00C7">
              <w:rPr>
                <w:rFonts w:cs="Arial"/>
                <w:b w:val="0"/>
                <w:lang w:eastAsia="en-NZ"/>
              </w:rPr>
              <w:t>This is a secure dementia service and has double door entry and any visitors have to ring and have to be let into the facility by a staff member. Staff routinely check the facility on each shift and hourly rounds of residents occurs for safety purposes. External and internal communal areas have security cameras installed.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was observed to be light and airy and well ventilated. Each individual bedroom has a large window providing natural light. Wall mounted heaters high up on the walls for resident safety, are available in the lounges, dining areas and in each individual resident’s room. The facility maintains a strict non-smoking policy.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implemented an infection prevention and control (IPC) programme to minimise the risk of infection to residents, staff and visitors. The facility has been divided into three wings to form small groups to help with management of social distancing to meet the Covid-19 pandemic infection control measures. The programme is guided by a comprehensive and current infection control manual, with input from external specialist consultants. The infection control programme and manual were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 is the designated IPC coordinator, whose role and responsibilities are defined in a job description. Infection control matters, including surveillance results, are reported monthly to the facility manager, and tabled at the quality committee meetings monthly.  This committee includes the facility manager, IPC coordinator and the support supervisor. </w:t>
            </w:r>
          </w:p>
          <w:p w:rsidR="00EB7645" w:rsidRPr="00BE00C7" w:rsidP="00BE00C7">
            <w:pPr>
              <w:pStyle w:val="OutcomeDescription"/>
              <w:spacing w:before="120" w:after="120"/>
              <w:rPr>
                <w:rFonts w:cs="Arial"/>
                <w:b w:val="0"/>
                <w:lang w:eastAsia="en-NZ"/>
              </w:rPr>
            </w:pPr>
            <w:r w:rsidRPr="00BE00C7">
              <w:rPr>
                <w:rFonts w:cs="Arial"/>
                <w:b w:val="0"/>
                <w:lang w:eastAsia="en-NZ"/>
              </w:rPr>
              <w:t>There was signage at the main entrance to the facility that requests anyone who is, or has been unwell in the past 48 hours, not to enter the facility. The infection control manual provides guidance for staff about how long they must stay away from work if they have been unwell. Current information on the Covid-19 pandemic infection control measures was clearly displayed for staff and visitors to see. Staff interviewed understood these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and knowledge and has attended relevant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 Adequate personal protective equipment was sighted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reflected the requirements of the infection prevention and control standard and current accepted good practice. Policies were last reviewed in November 2020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observation and documentation verified staff have received education on infection prevention and control at orientation and ongoing education sessions.  Education is provided by suitably qualified RNs and the IPC coordinator. Content of the training is documented and evaluated to ensure it is relevant, current and understood.  A record of attendance is maintained. Additional staff education was provided in response the Covid-19 pandemic.  </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was provided on a one-to-one basis and has included reminders about handwashing.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Bethany Hill Dementia Care’s infection surveillance is appropriate to that recommended for long term care facilities and includes infections of the urinary tract, soft tissue, fungal, eye, gastro-intestinal and the upper and lower respiratory tract. The IPC coordinator reviews all reported infections and these are documented on the infections report form.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years and this is reported to the facility manager. Data is benchmarked externally with a specialist provider. Benchmarking has provided assurance that infection rates in the facility are below average for the sector. No infection outbreaks have been reported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senior registered nurse is the restraint coordinator for the facility. There is no reported restraint used at the facility.  Staff interviewed were fully aware of how to safely manage both restraints and enablers, should they be required, and annual education is presented which includes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181"/>
        <w:gridCol w:w="1280"/>
        <w:gridCol w:w="4530"/>
        <w:gridCol w:w="69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1.4.7.4</w:t>
            </w:r>
          </w:p>
          <w:p w:rsidR="00EB7645" w:rsidRPr="00BE00C7" w:rsidP="00BE00C7">
            <w:pPr>
              <w:pStyle w:val="OutcomeDescription"/>
              <w:spacing w:before="120" w:after="120"/>
              <w:rPr>
                <w:rFonts w:cs="Arial"/>
                <w:b w:val="0"/>
                <w:lang w:eastAsia="en-NZ"/>
              </w:rPr>
            </w:pPr>
            <w:r w:rsidRPr="00BE00C7">
              <w:rPr>
                <w:rFonts w:cs="Arial"/>
                <w:b w:val="0"/>
                <w:lang w:eastAsia="en-NZ"/>
              </w:rPr>
              <w:t>Alternative energy and utility sources are available in the event of the main supplies failing.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Bethany Hill is located in a rural setting. Water is supplied by rain and underground bore water. When there is a power cut, which happens regularly, a generator is needed to light up some parts of the facility, especially when this event happens at night. Since the previous audit after experiencing some events a decision was made to ensure staff would not have to go underneath the building to start up the generator and connect the lines needed. This was considered unsafe practice and the service was left one staff member down when an event occurred whilst the staff member changed the resources over as not automatically controlled.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Having fully attained the criterion the service can in addition clearly demonstrate that the significant changes made to the emergency alternative energy and utility resources in the event of the main supplies failing has benefited both the staff and residents. Three main issues were identified for the existing processes in place. Issues included the inappropriate size of the generator in place at the time attributing to limited emergency power, lighting and heating available in the event of an emergency. The risk of injury as staff had to crawl underneath the facility to connect the line to the water pump and an extension cord to be connected to the inside of the facility. The staff member then needed to connect flood lights in different places by running additional extension cords through corridors and to the kitchen as well. A health and safety issue was identified as there was inadequate power, to light up corridors and toilets. Residents would become agitated when time was prolonged.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evaluation after a power outage of the current system, a plan was developed to make improvements. Six goals were set and all were actioned and achieved. This resulted in improvements for staff and residents.  To achieve this, a larger generator was installed and relocated, additional lights were installed outside and inside one toilet in each wing, three lounges and two lights in the kitchen. The power outlet for the water pump was relocated and was made accessible for staff. When the generator is started, power, lights and water are then immediately available. The facility is now a safer environment with no extension cords lying around and with effective lighting the residents’ all of whom have dementia, are calmer and have normal freedom of movement and can still access their rooms, toilets and other normal places in any emergency situation.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Agape Care Warkworth Limited - Bethany Hill Dementia Care</w:t>
    </w:r>
    <w:bookmarkEnd w:id="58"/>
    <w:r>
      <w:rPr>
        <w:rFonts w:cs="Arial"/>
        <w:sz w:val="16"/>
        <w:szCs w:val="20"/>
      </w:rPr>
      <w:tab/>
      <w:t xml:space="preserve">Date of Audit: </w:t>
    </w:r>
    <w:bookmarkStart w:id="59" w:name="AuditStartDate1"/>
    <w:r>
      <w:rPr>
        <w:rFonts w:cs="Arial"/>
        <w:sz w:val="16"/>
        <w:szCs w:val="20"/>
      </w:rPr>
      <w:t>7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