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Akaroa Health Limited - Akaroa Residential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Akaroa Health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Akaroa Residential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November 2020</w:t>
      </w:r>
      <w:bookmarkEnd w:id="7"/>
      <w:r w:rsidRPr="009418D4">
        <w:rPr>
          <w:rFonts w:cs="Arial"/>
        </w:rPr>
        <w:tab/>
        <w:t xml:space="preserve">End date: </w:t>
      </w:r>
      <w:bookmarkStart w:id="8" w:name="AuditEndDate"/>
      <w:r w:rsidR="00A4268A">
        <w:rPr>
          <w:rFonts w:cs="Arial"/>
        </w:rPr>
        <w:t>18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Akaroa Residential Care Centre is located on the site of the old hospital in Akaroa and has now been operating for approximately eighteen months as part of an integrated family health care centre.  This first full certification audit has been delayed due to the impact of Covid-19 with the certificate extended for up to twelve months from the original September 2020 due date. In 2019, HealthCert approved that the two medical beds become four medical beds, and the eight rest home beds become dual hospital medical and or geriatric/rest home beds. The total number of beds increased from 10 to 12 at that time. The purpose-built facility provides rest home and hospital level care and is co-located with a general practice.  The building is owned by Canterbury District Health Board and leased to the Akaroa Community Health Trust operating as Akaroa Health Limited (AHL).</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management, staff, and board members. Residents and family members interviewed were full of praise for the service and staff and appreciated the purpose built but homely environment.  </w:t>
      </w:r>
    </w:p>
    <w:p w:rsidRPr="00A4268A">
      <w:pPr>
        <w:spacing w:before="240" w:line="276" w:lineRule="auto"/>
        <w:rPr>
          <w:rFonts w:eastAsia="Calibri"/>
        </w:rPr>
      </w:pPr>
      <w:r w:rsidRPr="00A4268A">
        <w:rPr>
          <w:rFonts w:eastAsia="Calibri"/>
        </w:rPr>
        <w:t>The audit has resulted in two areas requiring improvement relating to medication competencies for registered nurses and cleaning practices.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 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interacted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There is a Māori health plan available for residents who identify as Māori to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 The facility manager is responsible for the management of complaints. Complaints were managed in accordance with the requirements of the Code.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Akaroa Community Health Trust is the governing body, with Akaroa Health Limited responsible for the service provided at this facility.  A business plan and quality and risk management plan are documented and included the scope, direction, goals, values, and a mission statement. Systems are in place for monitoring the service provided, including regular reporting to the governing body by the general manager.</w:t>
      </w:r>
    </w:p>
    <w:p w:rsidRPr="00A4268A">
      <w:pPr>
        <w:spacing w:before="240" w:line="276" w:lineRule="auto"/>
        <w:rPr>
          <w:rFonts w:eastAsia="Calibri"/>
        </w:rPr>
      </w:pPr>
      <w:r w:rsidRPr="00A4268A">
        <w:rPr>
          <w:rFonts w:eastAsia="Calibri"/>
        </w:rPr>
        <w:t>The facility is managed by an experienced and suitably qualified general manager who is a registered nurse. She is supported by a clinical nurse leader responsible for oversight of the clinical services.</w:t>
      </w:r>
    </w:p>
    <w:p w:rsidRPr="00A4268A">
      <w:pPr>
        <w:spacing w:before="240" w:line="276" w:lineRule="auto"/>
        <w:rPr>
          <w:rFonts w:eastAsia="Calibri"/>
        </w:rPr>
      </w:pPr>
      <w:r w:rsidRPr="00A4268A">
        <w:rPr>
          <w:rFonts w:eastAsia="Calibri"/>
        </w:rPr>
        <w:t>There was evidence that quality improvement data is collected and collated. Data is being reviewed, analysed, and compared with previous results.  Relevant clinical data details are reported to the quality meetings. There was a comprehensive internal audit programme in place and internal audits have been completed on schedule.  Corrective action plans have been developed to address areas identified as requiring improvement. Risks are identified, with higher risks reviewed regularly by the Board.  The hazard register was up to date.  Adverse events were documented on hard copy accident/incident forms.</w:t>
      </w:r>
    </w:p>
    <w:p w:rsidRPr="00A4268A">
      <w:pPr>
        <w:spacing w:before="240" w:line="276" w:lineRule="auto"/>
        <w:rPr>
          <w:rFonts w:eastAsia="Calibri"/>
        </w:rPr>
      </w:pPr>
      <w:r w:rsidRPr="00A4268A">
        <w:rPr>
          <w:rFonts w:eastAsia="Calibri"/>
        </w:rPr>
        <w:t xml:space="preserve">There are policies and procedures on human resources management.  Practising certificates were current for health professionals who required them.  Best practice human resources processes are followed including reference checks and police vetting completion for all potential employees. </w:t>
      </w:r>
    </w:p>
    <w:p w:rsidRPr="00A4268A">
      <w:pPr>
        <w:spacing w:before="240" w:line="276" w:lineRule="auto"/>
        <w:rPr>
          <w:rFonts w:eastAsia="Calibri"/>
        </w:rPr>
      </w:pPr>
      <w:r w:rsidRPr="00A4268A">
        <w:rPr>
          <w:rFonts w:eastAsia="Calibri"/>
        </w:rPr>
        <w:t>Training records indicated orientation completion for new staff. An in-service education programme was provided for staff, an annual staff study day is held, and other opportunistic training is provided as part of the staff meetings as well as access to online learning. Staff are also required to complete the New Zealand Qualifications Authority Unit Standards, although most care staff hold a level three or level four qualification. The nature of the community requires staff to have additional competencies relevant to medical emergencies.  This includes some staff holding PRIME qualifications or who are St Johns First Responders. Review of staff records evidenced individual education records were maintained.</w:t>
      </w:r>
    </w:p>
    <w:p w:rsidRPr="00A4268A">
      <w:pPr>
        <w:spacing w:before="240" w:line="276" w:lineRule="auto"/>
        <w:rPr>
          <w:rFonts w:eastAsia="Calibri"/>
        </w:rPr>
      </w:pPr>
      <w:r w:rsidRPr="00A4268A">
        <w:rPr>
          <w:rFonts w:eastAsia="Calibri"/>
        </w:rPr>
        <w:t>There is a documented rationale for determining staffing levels and skill mixes in order to provide safe service delivery. The general manager and the clinical nurse lead are available by phone and registered nurses cover the service twenty-four hours per day, seven days per week.  Care staff reported that adequate staff are available and that everyone works together as a team to enable them to get through their work.  Residents and families reported there are enough staff on duty to provide adequate care.</w:t>
      </w:r>
    </w:p>
    <w:p w:rsidRPr="00A4268A">
      <w:pPr>
        <w:spacing w:before="240" w:line="276" w:lineRule="auto"/>
        <w:rPr>
          <w:rFonts w:eastAsia="Calibri"/>
        </w:rPr>
      </w:pPr>
      <w:r w:rsidRPr="00A4268A">
        <w:rPr>
          <w:rFonts w:eastAsia="Calibri"/>
        </w:rPr>
        <w:t>The privacy of residents’ information was maintained in a secure manner and other service information is secured, archived and retrievable when required.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were individualised, based on a comprehensive range of information, and accommodate any new problems that might arise. Files reviewed demonstrated that the care provided and needs of residents were reviewed and evaluated on a regular and timely basis. Residents were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provided residents with a variety of individual and group activities and maintained their links with the community.  </w:t>
      </w:r>
    </w:p>
    <w:p w:rsidRPr="00A4268A" w:rsidP="00621629">
      <w:pPr>
        <w:spacing w:before="240" w:line="276" w:lineRule="auto"/>
        <w:rPr>
          <w:rFonts w:eastAsia="Calibri"/>
        </w:rPr>
      </w:pPr>
      <w:r w:rsidRPr="00A4268A">
        <w:rPr>
          <w:rFonts w:eastAsia="Calibri"/>
        </w:rPr>
        <w:t>Medicines were safely managed and administered by staff who were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was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All building and plant complied with legislation, and a current building warrant of fitness was displayed.  A preventative and reactive maintenance programme included equipment and electrical checks. The environment is appropriate to the needs of the residents with bedrooms being approved as dual-purpose rooms for use by residents who require either rest home, hospital level care or respite care.</w:t>
      </w:r>
    </w:p>
    <w:p w:rsidRPr="00A4268A">
      <w:pPr>
        <w:spacing w:before="240" w:line="276" w:lineRule="auto"/>
        <w:rPr>
          <w:rFonts w:eastAsia="Calibri"/>
        </w:rPr>
      </w:pPr>
      <w:r w:rsidRPr="00A4268A">
        <w:rPr>
          <w:rFonts w:eastAsia="Calibri"/>
        </w:rPr>
        <w:t xml:space="preserve">Residents’ rooms are spacious to allow for ease of care provision and for the safe use and manoeuvring of mobility aids. Equipment such as hoists suited to the needs of residents, is available.  </w:t>
      </w:r>
    </w:p>
    <w:p w:rsidRPr="00A4268A">
      <w:pPr>
        <w:spacing w:before="240" w:line="276" w:lineRule="auto"/>
        <w:rPr>
          <w:rFonts w:eastAsia="Calibri"/>
        </w:rPr>
      </w:pPr>
      <w:r w:rsidRPr="00A4268A">
        <w:rPr>
          <w:rFonts w:eastAsia="Calibri"/>
        </w:rPr>
        <w:t>Waste management, cleaning and laundry services are implemented in accordance with relevant policies and procedures.</w:t>
      </w:r>
    </w:p>
    <w:p w:rsidRPr="00A4268A">
      <w:pPr>
        <w:spacing w:before="240" w:line="276" w:lineRule="auto"/>
        <w:rPr>
          <w:rFonts w:eastAsia="Calibri"/>
        </w:rPr>
      </w:pPr>
      <w:r w:rsidRPr="00A4268A">
        <w:rPr>
          <w:rFonts w:eastAsia="Calibri"/>
        </w:rPr>
        <w:t>Essential emergency and security systems were in place with regular fire drills completed.  A backup generator is about to be installed and there are adequate amounts of potable water available in an emergency. A call bell system allows residents to access help when needed and residents reported that these are answered in a timely manner.</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documented policies and procedures for restraint minimisation and safe practice with a focus on the least restrictive option.  Systems were in place that ensured assessment of residents is undertaken prior to restraint or enabler use.  Enabler use is voluntary.</w:t>
      </w:r>
    </w:p>
    <w:p w:rsidRPr="00A4268A">
      <w:pPr>
        <w:spacing w:before="240" w:line="276" w:lineRule="auto"/>
        <w:rPr>
          <w:rFonts w:eastAsia="Calibri"/>
        </w:rPr>
      </w:pPr>
      <w:r w:rsidRPr="00A4268A">
        <w:rPr>
          <w:rFonts w:eastAsia="Calibri"/>
        </w:rPr>
        <w:t>There were no residents using restraint. There was one resident using an enabler of their choice. There was an example of alternatives to the use of restraint documented for one resident. Staff education includes all required aspects of restraint and enabler use along with alternatives to restraint and behavioural management. Staff described the difference between a restraint and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was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8"/>
        <w:gridCol w:w="1280"/>
        <w:gridCol w:w="97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Akaroa Residential Care Centre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last provided at a study day in July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admission agreement.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CNL provided an example of the ongoing involvement of Advocacy Services in relation to loss of a residents’ property during the move to the new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diversional therapist confirmed that community involvement is particularly important to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general manager is responsible for complaints and there are systems in place to manage the complaints processes. A complaints register is maintained that included one complaint in the past year.  This was managed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policies and procedures are compliant with Right 10 of the Code. Systems are in place to ensure residents and their family are advised on entry to the facility of the complaint processes and the Code. Residents spoken to understood these processes. Information about the complaints process was readily accessible and/or displayed.  Review of quality and staff meeting minutes provided evidence of reporting back of complaints and concerns to staff. </w:t>
            </w:r>
          </w:p>
          <w:p w:rsidR="00EB7645" w:rsidRPr="00BE00C7" w:rsidP="00BE00C7">
            <w:pPr>
              <w:pStyle w:val="OutcomeDescription"/>
              <w:spacing w:before="120" w:after="120"/>
              <w:rPr>
                <w:rFonts w:cs="Arial"/>
                <w:b w:val="0"/>
                <w:lang w:eastAsia="en-NZ"/>
              </w:rPr>
            </w:pPr>
            <w:r w:rsidRPr="00BE00C7">
              <w:rPr>
                <w:rFonts w:cs="Arial"/>
                <w:b w:val="0"/>
                <w:lang w:eastAsia="en-NZ"/>
              </w:rPr>
              <w:t>One resident’s complaint has been investigated by the Health and Disability Commissioner (HDC) via the Advocacy Service. This has been satisfactorily resolved.  Documentation reviewed indicated this investigation was now closed, with all actions and responses in accordance with the timeframes outlined in the Code.  There have been no investigations by the Ministry of Health, the Accident Compensation Corporation (ACC), Police or Coroner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through information provided on admission and discussion with staff. The Code is displayed at the reception of the medical practice and on notice boards in each wing of the facility together with information on advocacy services, how to make a complaint and feedback forms. If residents make a complaint, they are reminded of their right to have an advocate present at any discussions.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by knocking on doors and taking residents to their rooms for private conversations.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through involvement in community activities, both individually and in groups.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at a study day in July 2020. Residents and family members interviewed reported that they had never seen or experienced any signs of abuse, neglect, or discrimination.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no residents who identified as Māori but there is a current Māori health plan available with input from advisors from Ōnuku Runanga marae. The principles of the Treaty of Waitangi are incorporated into day to day practice, as is the importance of whānau. Guidance on tikanga best practice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those that wished to attend church services or have visits from the priest. The residents interviewed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orientation programme for staff includes education on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diabetes nurse specialist, wound care specialist, and mental health services for older persons, and education of staff. The general practitioner (GP) confirmed the service sought prompt and appropriate medical intervention from GPs or one of three ‘prime response in medical emergencies’ (PRIME) staff from the medical practice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HealthLearn, Goodfellow unit, mobile health webinars, and attend study days by New Zealand Aged Care Association.</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recent review of the medication management system to clarify prescribing, delivery and administration of medications which has resulted in a decrease in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the five residents’ records reviewed. Staff understood the principles of open disclosure, which is supported by policies and procedures that meet the requirements of the Code. The clinical nurse lead (CNL) gave an example of ongoing communication  in relation to a resident’s special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has not been required due to all residents being able to speak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Subsequent to the 2010 and 2011 earthquakes, it became necessary to replace several key services housed in earthquake damaged buildings for the people of Banks Peninsula.  In 2017 the Akaroa Structure Group established Akaroa Community Health Trust (ACHT). The Akaroa community recruited Trustees plus representation from Ōnuku Marae and Christchurch City Council’s Community Board to govern ACHT. ACHT recruited Directors to govern Akaroa Health Ltd (AHL), a charitable company, to operate and manage the new health facility and take the lead in integrating service delivery across the providers within the Akaroa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model of care was released to the community in early 2018 and continues to evolve as new health needs are identified and different ways of delivering services are developed and implemented in the community. The first full review is now underway. AHL purchased the GP Practice with effect from 1 April 2018. The aged residential service contract was transferred to AHL (eight beds) and a health services contract to provide and bulk fund four flexi beds was agreed to by CDHB and AHL in May 2019. By August 2019, all services were shifted into the new Health Centre, all under AHL management. </w:t>
            </w:r>
          </w:p>
          <w:p w:rsidR="00EB7645" w:rsidRPr="00BE00C7" w:rsidP="00BE00C7">
            <w:pPr>
              <w:pStyle w:val="OutcomeDescription"/>
              <w:spacing w:before="120" w:after="120"/>
              <w:rPr>
                <w:rFonts w:cs="Arial"/>
                <w:b w:val="0"/>
                <w:lang w:eastAsia="en-NZ"/>
              </w:rPr>
            </w:pPr>
            <w:r w:rsidRPr="00BE00C7">
              <w:rPr>
                <w:rFonts w:cs="Arial"/>
                <w:b w:val="0"/>
                <w:lang w:eastAsia="en-NZ"/>
              </w:rPr>
              <w:t>In July 2020, AHL Board and the General Manager undertook a strategic planning workshop. The AHL strategic action plan for 2020 was developed with five key themes for action. Theme three is a review of the Model of Care and the development of patient outcome metrics. These metrics contribute to an AHL balanced score card, including objectives from other documents such as the AHL Maori Health Approach. The balanced score card framework being developed will replicate the strategic goals (i.e. patient and community, organisation systems, staff, and finances). This was being refined at the time of audit to provide reporting to the Board, the Trust, and the community on the service’s performance. The AHL board has a range of skills to call upon.  Some of the six trustees have a health background, but there is also financial and legal representation. Care has been taken to separate governance and operations – the chair of AHL sits on the ACHT board and vice versa.  A Code of Governance guides relationships and behaviours.  Two Board members interviewed confirmed the processes, including regular monthly meetings. Minutes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Documents outlining the AHL Strategic Approach 2018 – 20 were reviewed.  </w:t>
              <w:tab/>
              <w:t>This defines the scope, direction, and goals of the organisation, as well as the monitoring and reporting processes against these systems.  An organisational chart outlines reporting lines.  The general manager provides comprehensive reports to the governing body and speaks to the reports at Board meetings.  Interviews with residents and families indicate that the service is highly valued by the local community, with a real sense of ownership and support evident.</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general manager (GM) who is a registered nurse and has been in this position since 2018 to facilitate the change process and development of the new structure and service.  She has held a number of senior management positions in a range of settings including Capital and Coast DHB.  The facility manager is supported by a clinical nurse lead who is a registered nurse.  She works three days per week and has oversight of clinical care.  Both hold a current Annual Practising Certificate (APC).</w:t>
            </w:r>
          </w:p>
          <w:p w:rsidR="00EB7645" w:rsidRPr="00BE00C7" w:rsidP="00BE00C7">
            <w:pPr>
              <w:pStyle w:val="OutcomeDescription"/>
              <w:spacing w:before="120" w:after="120"/>
              <w:rPr>
                <w:rFonts w:cs="Arial"/>
                <w:b w:val="0"/>
                <w:lang w:eastAsia="en-NZ"/>
              </w:rPr>
            </w:pPr>
            <w:r w:rsidRPr="00BE00C7">
              <w:rPr>
                <w:rFonts w:cs="Arial"/>
                <w:b w:val="0"/>
                <w:lang w:eastAsia="en-NZ"/>
              </w:rPr>
              <w:t>On the first day of this audit there was one hospital level care resident, seven rest home level care residents and one person receiving short term respite care – a total of nine occupied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general manager, the clinical nurse lead deputises.  Additional clinical support is provided by the practice manager of the co-located GP practice. Call arrangements are in place. Both the GM and the clinical nurse lead understood their responsibility and authority for their roles. Delegation documents guide actions for the positions.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plan has been established to guide the quality programme, which is seen as a driver to providing high quality and safe services for the community. The approach aligns with Health Quality and Safety Commission’s “triple aim”, particularly, improved quality, safety, and experience of care. AHL has added a further aim – a thriving organisation.  Purpose, goals/objectives, and scope are included in the plan, which is reviewed annually by the Risk Audit Compliance management group (RAC).  The review summarises the organisation’s performance against targets and makes recommendations.  The report is tabled at the Clinical Governance Group (CGG) and signed off by the board.</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risk register has been developed and is regularly reviewed by the Board.  Risks are identified and mitigated, with increased monitoring as/if risks change.  Examples reviewed indicated that this is an active and well understood and implemented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 and relative satisfaction surveys have been completed since the facility opened, with questions in relation to food and care.  Results indicated a high level of satisfaction with no corrective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audits for 2020 are in accordance with the audit schedule. Where necessary, shortcomings have been followed up with a corrective action or training focus. Review of the quality improvement data provided evidence that data is being collected and collated to identify any trends. When necessary, corrective actions are developed, implemented, and evaluated. </w:t>
            </w:r>
          </w:p>
          <w:p w:rsidR="00EB7645" w:rsidRPr="00BE00C7" w:rsidP="00BE00C7">
            <w:pPr>
              <w:pStyle w:val="OutcomeDescription"/>
              <w:spacing w:before="120" w:after="120"/>
              <w:rPr>
                <w:rFonts w:cs="Arial"/>
                <w:b w:val="0"/>
                <w:lang w:eastAsia="en-NZ"/>
              </w:rPr>
            </w:pPr>
            <w:r w:rsidRPr="00BE00C7">
              <w:rPr>
                <w:rFonts w:cs="Arial"/>
                <w:b w:val="0"/>
                <w:lang w:eastAsia="en-NZ"/>
              </w:rPr>
              <w:t>Quality related meetings included RAC, clinical governance and staff meetings.  Infection control, health and safety and restraint, reviewed policy or procedures, and quality audit results are discussed as evidenced in meeting minutes reviewed. Information and minutes are made available to staff and they reported feeling well informed about all aspects of the operation. Consideration is being given to reducing the frequency of the clinical governance meetings to 6 – 8 weekly (This is a whole of service meeting including the GP practice), while retaining RAC at a monthly frequency to better reflect the needs and key indicators relevant to the aged care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relevant to the scope and complexity of the service, reflect current accepted practice, and referenced relevant legislative requirements. The policy covers uncontrolled documents, changes, removal of obsolete documents and storage.  Documents are being moved towards being fully electronic, with hard copies about to be phased out. Guidance on how to access these is readily available with screenshots guidance provided. The policies / procedures reviewed were current.  Staff confirmed during interview that they are advised of updated policies and they confirmed the policies and procedures provided appropriate guidance for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manual plan 2020 – 21 has been developed, with focus areas defined.  These are employer commitment, planning, hazard identification and management, training, incident and accident reporting, employee participation and emergency planning.  Health and safety is an agenda item at all meetings, including the board. There is a hazard reporting system and a hazard register that identified health and safety risks. It is maintained separately from the risk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health care assistants document adverse events on an accident/incident form.  Samples reviewed are consistently completed. Documentation and interview with the general manager evidenced corrective action has been developed and implemented for a range of events, internal audits or near misses.  An improvement register captures some of the corrective action planning undertaken, but it would be beneficial to ensure that all improvement opportunities are systematically captured wherever they are identified. Adverse events are collated and held in hard copy.  Analysis and trends are reported electronically and reported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documentation reviewed provided evidence of communication with families/next-of-kin/enduring power of attorney (EPOA) following adverse events involving the resident, or any change in the resident’s condition. This is also confirmed at interview with family members.</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have recently been updated to reflect essential notification reporting requirements (e.g., health and safety, human resources, infection control, section 31). Senior staff confirmed they are aware of their notification responsibilities through job descriptions and policies and procedures, as confirmed through review of relevant documentation.   There have been no notifications of any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policies and procedures guide human resources management.  Recruitment processes are defined but the added advantage of local knowledge is reported by the GM.  Some staff have been employed after making their interest and availability known to the service and it is seldom necessary to advertise vacancies.  Annual practising certificates for all health professionals who require them were current, including for a recently employed enrolled nurse.  The skills and knowledge required for each position within the service is documented in job descriptions which outlined accountability, responsibilities, and authority. These were reviewed along with employment agreements, confidentiality statements, referee checks and police vetting results for seven staff, including most recently employed staff.  Staff sign a comprehensive code of conduct at the time of commencing employment.  </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in place. New staff files reviewed evidenced an orientation had been completed.  Orientation for staff covers the essential components of the service provided. Staff who were redeployed from the previous facility were also given opportunities to familiarise themselves with the new environment when the facility opened.  Staff performance is reviewed at the end of the orientation period.  Performance appraisals are completed annually and were up to date or scheduled for staff requiring them. Care staff also confirmed their attendance at on-going in-service education and that their performance appraisals were current.</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lead is responsible for oversight of the in-service education programme.  Individual records of education are maintained for each staff member and were reviewed at audit. Review of the education programmes for 2020 evidenced education is provided in various ways (e.g., via study days, online training, at staff meetings and opportunistic external education by visiting specialist medical, nursing, and allied health staff such as from the palliative care team and wound care nurses).  Seven of nine registered nurses responsible for medication management have undertaken additional training; however, the organisation has not defined the competency requirements for these staff (see CAR 1.3.12.3).  Health care assistants all have records of current medication competencies.  There are records of completion of mandatory training requirements including the required HealthLearn modules. Records were maintained in a spreadsheet.</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 most have completed this to at least level three standards. A new staff member has recently commenced level two. A registered nurse is the internal assessor for the programme. Several staff also have other facility or community roles such as St Johns first responders or are PRIME nurses.   Registered nurses who cover all three shifts hold current NZ Resuscitation Council certification, with health care assistants completing a First Aid course through St Johns.</w:t>
            </w:r>
          </w:p>
          <w:p w:rsidR="00EB7645" w:rsidRPr="00BE00C7" w:rsidP="00BE00C7">
            <w:pPr>
              <w:pStyle w:val="OutcomeDescription"/>
              <w:spacing w:before="120" w:after="120"/>
              <w:rPr>
                <w:rFonts w:cs="Arial"/>
                <w:b w:val="0"/>
                <w:lang w:eastAsia="en-NZ"/>
              </w:rPr>
            </w:pPr>
            <w:r w:rsidRPr="00BE00C7">
              <w:rPr>
                <w:rFonts w:cs="Arial"/>
                <w:b w:val="0"/>
                <w:lang w:eastAsia="en-NZ"/>
              </w:rPr>
              <w:t>A qualified diversional therapist works twenty-one hours per fortnight and maintains networks in the sector.  She also fills HCA shifts. Three staff cover cooking roles over the seven-day period, and all hold a food safety qualification.  Health care assistants (HCAs) have also received food handling training suited to their need to reheat food for the evening meal. There is one trained InterRAI assessor with current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in order to provide safe service delivery that is based on best practice.  The minimum number of staff is provided during the night shift and consists of one registered nurse and one health care assistant.  The general manager or the clinical nurse lead share on call after hours.  Registered nurses cover all shifts on a rotational roster. During the weekend and afterhours either a senior registered nurse or GP are rostered for PRIME on call. Health Care Assistants interviewed reported there were adequate staff available and that they were able to complete the work allocated to them. They commented that they work as a team, with both the clinical nurse lead and general manager helping out if required.  Residents and family interviewed reported there was enough staff on duty that provided their relative with adequate care.  Observations during this audit confirmed adequate staff cover was being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GP/PRIME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There was one resident receiving respite care on the day of audit who expressed satisfaction with the service.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The CNL confirmed that many of their long-term residents were familiar with the service having been respite residents prior to becoming permanent residents.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an electronic system to facilitate transfer of residents to and from acute care services. There is open communication between all services, the resident, and the family. At the time of transition between services, appropriate information is provided for the ongoing management of the resident. If the resident is being transferred to another facility a verbal handover is given via telephone.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 paper-based system was observed on the day of audit. The staff observed demonstrated good knowledge and had a clear understanding of their roles and responsibilities related to each stage of medicine management. HCA staff who administer medicines are competent to perform the function they manage. The registered nurses while having training in medication management do not have a process where they are signed off as being competent, resulting in a corrective action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 safe in the medical practice,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were consistently recorded on the medicine chart. The residential aged care service does not use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self-administer medications at the time of audit. Appropriate processes are in place to ensure this is managed in a safe manner if it should be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three cooks and a kitchen hand and is in line with recognised nutritional guidelines for older people. The menu follows summer and winter patterns and has been reviewed by a qualified dietitian within the last two years (July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and registration issued by Ministry for Primary Industries current until 22 January 2021. Food temperatures, including for high risk items, are monitored appropriately, and recorded as part of the plan. The cooks have completed a certificate in catering, level three.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verified that they have input into the meals by a monthly event, ‘Monday menu’ where they are able to choose what they would like to have on the menu.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family. The CNL gave an example of a respite resident no longer able to be safely managed which enabled the family to request reassessment and appropriate level of care sought.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and nutritional screening, as a means to identify any deficits and to inform care planning. The sample of care plans reviewed had an integrated range of resident-related information. All residents have current interRAI assessments completed by the one interRAI trained assessor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highlighted and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were followed, and care was of a high standard. Care staff confirmed that care was provided as outlined in the documentation and that they had input into the care planning.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(DT) holding the National Certificate in Diversional Therapy who has been working at the facility three days a week for seven years. HCAs will implement pre-set activities when the DT is away.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on a daily basis by noting engagement and as part of the three-monthly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such as attending school productions and local events. Individual, group activities and regular events are offered including quizzes and entertainers. Residents and families are involved in evaluating and improving the programme through residents’ meetings and satisfaction surveys. Residents interviewed confirmed they find the programme engaging.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wound care and skin conditions. When necessary, and for unresolved problems, long term care plans are added to and updated. 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All residents are seen by medical staff from the onsite medical practice. If the need for other non-urgent services are indicated or requested, the GP or RN sends a referral to seek specialist input. Copies of referrals were sighted in residents’ files, including to the nephrology department and a skin specialist. Physiotherapist referrals are of a verbal nature with the physiotherapist in the medical practice. The resident and the family are kept informed of the referral process, as verified by documentation and interviews. Any acute/urgent referrals are attended to immediately by either a GP or PRIME staff member, who assess the situation and take appropriate interventions, such as sending the resident to accident and emergency in an ambulance or helicopter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including the need to report any incidents in a timely manner.  Chemicals are stored safely in locked cupboards or the cleaning cupboard.  Material safety data sheets are available for all products sampled and are available for staff use. Bulk supplies are decanted into labelled bottles for use in the various service areas.  The hazard register is current.  Staff received training and education to ensure safe and appropriate handling of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provider collects infectious and medical waste which is stored in a locked outdoor cage to prevent unauthorised access. Council waste bins are available for general rubbish. </w:t>
            </w:r>
          </w:p>
          <w:p w:rsidR="00EB7645" w:rsidRPr="00BE00C7" w:rsidP="00BE00C7">
            <w:pPr>
              <w:pStyle w:val="OutcomeDescription"/>
              <w:spacing w:before="120" w:after="120"/>
              <w:rPr>
                <w:rFonts w:cs="Arial"/>
                <w:b w:val="0"/>
                <w:lang w:eastAsia="en-NZ"/>
              </w:rPr>
            </w:pPr>
            <w:r w:rsidRPr="00BE00C7">
              <w:rPr>
                <w:rFonts w:cs="Arial"/>
                <w:b w:val="0"/>
                <w:lang w:eastAsia="en-NZ"/>
              </w:rPr>
              <w:t>There is an adequate supply of personal protective clothing and equipment that is appropriate to the recognised risks and which is made available to staff.  Protective clothing and equipment is readily available for residents in isolation and in the laundry and sluice rooms. Staff were observed using the protective clothing provided and have been trained in the use of PPE and in correct donning and doffing.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entry, expiring 1 August 2021.  Records of regular monthly building inspections for compliance are maintained.</w:t>
            </w:r>
          </w:p>
          <w:p w:rsidR="00EB7645" w:rsidRPr="00BE00C7" w:rsidP="00BE00C7">
            <w:pPr>
              <w:pStyle w:val="OutcomeDescription"/>
              <w:spacing w:before="120" w:after="120"/>
              <w:rPr>
                <w:rFonts w:cs="Arial"/>
                <w:b w:val="0"/>
                <w:lang w:eastAsia="en-NZ"/>
              </w:rPr>
            </w:pPr>
            <w:r w:rsidRPr="00BE00C7">
              <w:rPr>
                <w:rFonts w:cs="Arial"/>
                <w:b w:val="0"/>
                <w:lang w:eastAsia="en-NZ"/>
              </w:rPr>
              <w:t>Review of documentation provided evidence there are appropriate systems in place to ensure the residents’ physical environment and facilities are fit for their purpose.  There is a proactive and reactive maintenance programme in place and buildings, plant and equipment are maintained to an adequate standard following the initial 12-month builders warranty period. Some building responsibilities remain with the landlord (CDHB).  A maintenance person is available to undertake minor repairs and maintenance on a voluntary basis. The testing and tagging of equipment and calibration of bio medical equipment was current, with all equipment to be included in a retest booked for 8 December 2020. Water temperatures are monitored manually at the tap and recorded weekly, however there is also a sophisticated monitoring system for the facility linked to the CDHB electronic facility management system. Monitoring of ambient and underfloor room heating and water temperatures produced through an instant hot water system occurs on an ongoing basis.  There is some ability to reset temperatures within the building using the electronic building dashboard. A trade waste certificate is dated 5 November 2019.</w:t>
            </w:r>
          </w:p>
          <w:p w:rsidR="00EB7645" w:rsidRPr="00BE00C7" w:rsidP="00BE00C7">
            <w:pPr>
              <w:pStyle w:val="OutcomeDescription"/>
              <w:spacing w:before="120" w:after="120"/>
              <w:rPr>
                <w:rFonts w:cs="Arial"/>
                <w:b w:val="0"/>
                <w:lang w:eastAsia="en-NZ"/>
              </w:rPr>
            </w:pPr>
            <w:r w:rsidRPr="00BE00C7">
              <w:rPr>
                <w:rFonts w:cs="Arial"/>
                <w:b w:val="0"/>
                <w:lang w:eastAsia="en-NZ"/>
              </w:rPr>
              <w:t>There are external areas available for residents.  A courtyard is about to have additional shade added in the form of a pergola, as well as some beautification with plantings.  Residents have access to external areas and were seen to access a safe walking pathway on several occasions during the audit.  A community group provides gardening services on a rostered basis. The environment is conducive to the age and mobility needs of the residents.  There is an easily accessible covered shed with power for the charging of several electric scooters adjacent to a side exit.</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have received any necessary training in its use. The community and other groups have generously supported the equipment needs of the facility, with most items being newly purchased (e.g., electric beds, a fold out bed for the palliative care room and clinical observation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know the processes they should follow if any repairs/maintenance are required and also that staff are proactive in ensuring items are safe to use or repaired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twelve bedrooms have a separate ensuite bathroom, with raised toilet seats, flat entry showers and appropriately located handrails. There are adequate numbers of communal bathrooms and toilets throughout the facility, such as adjacent to the lounge for resident ease of access.  Residents interviewed find proximity of bathrooms to be useful, whether in public or private spaces.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personal space provided to allow residents and staff to move safely within the bedroom areas.  All bedrooms provide single accommodation.  Residents spoke positively about their rooms which are personalised with furnishings, photos, and other personal items.</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such as wheelchairs and hoists in storage areas or specifically designed spaces that do not create a mobility hazard.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number of areas for residents to spend time socialising, relaxing or participating in activities.  While the spaces are not large, they are comfortable and uncluttered, with suitable furniture and furnishings. A small tea making area is available for residents or family/whānau use. There is a separate dining room, with access to filtered water at any time. Residents were noted to spend unhurried time to finish their meals and to socialise. Furniture is appropriate to the setting and arranged in a manner which enables residents to mobilise freely and be able to watch television, play cards or participate in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reported they are enjoying the fresh new environment which is comfortable and warm.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personal laundry and towels are washed on site in a dedicated laundry. Larger items such as sheets and bedcovers are sent to a contracted laundry in Christchurch each week. Residents reported the laundry is managed well and their clothes are returned in a timely manner. Staff are reported to take pride in keeping resident clothing in a clean and well-kept state. Care staff responsible demonstrated a sound knowledge of the laundry processes. </w:t>
            </w:r>
          </w:p>
          <w:p w:rsidR="00EB7645" w:rsidRPr="00BE00C7" w:rsidP="00BE00C7">
            <w:pPr>
              <w:pStyle w:val="OutcomeDescription"/>
              <w:spacing w:before="120" w:after="120"/>
              <w:rPr>
                <w:rFonts w:cs="Arial"/>
                <w:b w:val="0"/>
                <w:lang w:eastAsia="en-NZ"/>
              </w:rPr>
            </w:pPr>
            <w:r w:rsidRPr="00BE00C7">
              <w:rPr>
                <w:rFonts w:cs="Arial"/>
                <w:b w:val="0"/>
                <w:lang w:eastAsia="en-NZ"/>
              </w:rPr>
              <w:t>There is a dedicated cleaner employed for the general practice who also undertakes some cleaning in the public areas of the residential facility. However, most cleaning is undertaken by care staff as part of their daily duties.  Two staff described the processes, use of chemicals and the cleaning activity itself. Staff have received appropriate training, including in chemical use. The cleaning cupboard is kept locked. It includes for items stored in the laundry. All chemicals were in appropriately labelled containers. Cleaning and laundry processes are monitored through the internal audit programme. Improvement is needed in relation to use of mops.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evacuation plan was approved by the New Zealand Fire Service on 9/8/19.  An evacuation policy on emergency and security situations was in place.  A trial fire evacuation was undertaken in October 2020 with a copy of the six-monthly practice sent to the New Zealand Fire Service. The GM reported that the next trial evacuation may be scheduled when there are lower staffing levels.  The orientation programme includes fire and security training.  </w:t>
            </w:r>
          </w:p>
          <w:p w:rsidR="00EB7645" w:rsidRPr="00BE00C7" w:rsidP="00BE00C7">
            <w:pPr>
              <w:pStyle w:val="OutcomeDescription"/>
              <w:spacing w:before="120" w:after="120"/>
              <w:rPr>
                <w:rFonts w:cs="Arial"/>
                <w:b w:val="0"/>
                <w:lang w:eastAsia="en-NZ"/>
              </w:rPr>
            </w:pPr>
            <w:r w:rsidRPr="00BE00C7">
              <w:rPr>
                <w:rFonts w:cs="Arial"/>
                <w:b w:val="0"/>
                <w:lang w:eastAsia="en-NZ"/>
              </w:rPr>
              <w:t>The building is locked down each night as part of a security check and there is a well-lit car park adjacent to the building. Entry to the building is gained when staff open the doors out of hours. They are able to visualise any visitors before providing entry. Staff confirmed their awareness of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member on duty with a current first aid certificate or advanced life support certificate.</w:t>
            </w:r>
          </w:p>
          <w:p w:rsidR="00EB7645" w:rsidRPr="00BE00C7" w:rsidP="00BE00C7">
            <w:pPr>
              <w:pStyle w:val="OutcomeDescription"/>
              <w:spacing w:before="120" w:after="120"/>
              <w:rPr>
                <w:rFonts w:cs="Arial"/>
                <w:b w:val="0"/>
                <w:lang w:eastAsia="en-NZ"/>
              </w:rPr>
            </w:pPr>
            <w:r w:rsidRPr="00BE00C7">
              <w:rPr>
                <w:rFonts w:cs="Arial"/>
                <w:b w:val="0"/>
                <w:lang w:eastAsia="en-NZ"/>
              </w:rPr>
              <w:t>All required fire equipment was sighted on the day of audit and all equipment had been checked within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There are adequate supplies in the event of a civil defence emergency including food, water, blankets, and torches. Checks are conducted monthly on the content and functioning of items in the civil defence boxes.</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alert staff, with location boards situated in the corridors. An audible sounder has been added for the dining room, as staff are unable to hear the call bells from the two wings when working in this area.  This is proving to be an effective system.  Residents and families reported staff respond promptly to call bells and this was observed to occur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A generator has recently been purchased and is enroute from overseas.  It will be commissioned on arrival and is able to meet the ongoing power needs of the site including power, lighting, and heating.  Solar panels are providing an additional power boost and any surplus is fed back into the grid.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ensure the service is responsive to resident feedback in relation to heating and ventilation, wherever practicable. Residents are provided with safe ventilation with partial opening windows, and an environment that is maintained at a safe and comfortable temperature. Initial issues were encountered with maintaining consistent temperatures in the building, but these are now resolved. Heating is provided by underfloor heating and an HVac system.  The building is smoke free. All resident areas are provided with natural 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The infection control programme and manual are reviewed annually and signed off by the chair of the board (14 February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general manager, and tabled at the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There is a QR code to track and trace for Covid-19. Families interviewed said they were well informed of processes during each different level of Covid-19 restrictions.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the role for ten years. She has attended relevant study days, as verified in training records sighted. Additional support and information is accessed from the infection control team at the DHB,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January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with extra sessions being held during Covid-19 lockdown. Education is provided by suitably qualified RNs, and the IPC coordinator. Content of the training is documented and evaluated to ensure it is relevant, current, and understood. A record of attendance was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advice about remaining in their room if they are unwell and hand sanitizing before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wound, eyes, nose, ears, mouth, and the upper and lower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Results for the current year, and comparisons against previous years are made and this is reported to the general manager and the board.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reports of any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policy and procedures to guide staff in the safe use of restraint or enablers. No restraint has been implemented; however, one enabler was in use at the request of the resident to promote independence and safety.  Documentation confirmed this was the resident’s preferred enabler and had been provided at their request.  There was one example in which restraint use had been actively minimised through interventions such as one on one staff support during a period of restlessness. Consequently, restraint had not been required. </w:t>
            </w:r>
          </w:p>
          <w:p w:rsidR="00EB7645" w:rsidRPr="00BE00C7" w:rsidP="00BE00C7">
            <w:pPr>
              <w:pStyle w:val="OutcomeDescription"/>
              <w:spacing w:before="120" w:after="120"/>
              <w:rPr>
                <w:rFonts w:cs="Arial"/>
                <w:b w:val="0"/>
                <w:lang w:eastAsia="en-NZ"/>
              </w:rPr>
            </w:pPr>
            <w:r w:rsidRPr="00BE00C7">
              <w:rPr>
                <w:rFonts w:cs="Arial"/>
                <w:b w:val="0"/>
                <w:lang w:eastAsia="en-NZ"/>
              </w:rPr>
              <w:t>Health care assistants have received training in the use of restraints and enablers through a HealthLearn module. They demonstrated good knowledge on their use and strategies for avoiding the use of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03"/>
        <w:gridCol w:w="1280"/>
        <w:gridCol w:w="6075"/>
        <w:gridCol w:w="2491"/>
        <w:gridCol w:w="20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hospital care assistants have a programme in place for gaining medication competency but there is no defined plan in place for the registered nurses to gain medication competency.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While seven of nine registered nurses have undertaken training on HealthLearn in relation to medication management, competency requirements have not been defined.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programme is defined and put in place to ensure registered nurses are trained and signed off as medication competent on an annual basis.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is largely undertaken by care staff and practice is guided by policy.</w:t>
            </w:r>
          </w:p>
          <w:p w:rsidR="00EB7645" w:rsidRPr="00BE00C7" w:rsidP="00BE00C7">
            <w:pPr>
              <w:pStyle w:val="OutcomeDescription"/>
              <w:spacing w:before="120" w:after="120"/>
              <w:rPr>
                <w:rFonts w:cs="Arial"/>
                <w:b w:val="0"/>
                <w:lang w:eastAsia="en-NZ"/>
              </w:rPr>
            </w:pPr>
            <w:r w:rsidRPr="00BE00C7">
              <w:rPr>
                <w:rFonts w:cs="Arial"/>
                <w:b w:val="0"/>
                <w:lang w:eastAsia="en-NZ"/>
              </w:rPr>
              <w:t>Various types of mop heads are used including “squeegee” and string types according to the area being cleaned.   There are different ways in which they are being cleaned and laundered, with some variability in staff understanding of the correct process for the “squeegee” type.  There is also a lack of clarity in the policy in relation to mop use in isolation rooms. On the day of audit, there was one patient in isolation.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lack of clarity about the cleaning process for different types of mops and the expected cleaning processes, including in isolation rooms.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Clarify the process for cleaning/laundering of various types of mops and the expected process in isolation rooms.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Akaroa Health Limited - Akaroa Residential Care Centre</w:t>
    </w:r>
    <w:bookmarkEnd w:id="58"/>
    <w:r>
      <w:rPr>
        <w:rFonts w:cs="Arial"/>
        <w:sz w:val="16"/>
        <w:szCs w:val="20"/>
      </w:rPr>
      <w:tab/>
      <w:t xml:space="preserve">Date of Audit: </w:t>
    </w:r>
    <w:bookmarkStart w:id="59" w:name="AuditStartDate1"/>
    <w:r>
      <w:rPr>
        <w:rFonts w:cs="Arial"/>
        <w:sz w:val="16"/>
        <w:szCs w:val="20"/>
      </w:rPr>
      <w:t>17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